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8415"/>
        <w:gridCol w:w="585"/>
      </w:tblGrid>
      <w:tr w:rsidR="00E2453C" w:rsidRPr="00E2453C" w:rsidTr="00E2453C">
        <w:trPr>
          <w:gridAfter w:val="1"/>
          <w:tblCellSpacing w:w="0" w:type="dxa"/>
        </w:trPr>
        <w:tc>
          <w:tcPr>
            <w:tcW w:w="0" w:type="auto"/>
            <w:vAlign w:val="center"/>
            <w:hideMark/>
          </w:tcPr>
          <w:p w:rsidR="00E2453C" w:rsidRPr="00E2453C" w:rsidRDefault="00E2453C" w:rsidP="00E2453C">
            <w:pPr>
              <w:spacing w:after="0" w:line="240" w:lineRule="auto"/>
              <w:rPr>
                <w:rFonts w:ascii="Times New Roman" w:eastAsia="Times New Roman" w:hAnsi="Times New Roman" w:cs="Times New Roman"/>
                <w:sz w:val="24"/>
                <w:szCs w:val="24"/>
              </w:rPr>
            </w:pPr>
          </w:p>
        </w:tc>
      </w:tr>
      <w:tr w:rsidR="00E2453C" w:rsidRPr="00E2453C" w:rsidTr="00E2453C">
        <w:trPr>
          <w:gridAfter w:val="1"/>
          <w:tblCellSpacing w:w="0" w:type="dxa"/>
        </w:trPr>
        <w:tc>
          <w:tcPr>
            <w:tcW w:w="8415" w:type="dxa"/>
            <w:vAlign w:val="center"/>
            <w:hideMark/>
          </w:tcPr>
          <w:p w:rsidR="00E2453C" w:rsidRPr="00E2453C" w:rsidRDefault="00E2453C" w:rsidP="00E2453C">
            <w:pPr>
              <w:bidi/>
              <w:spacing w:after="0" w:line="240" w:lineRule="auto"/>
              <w:ind w:firstLine="720"/>
              <w:jc w:val="both"/>
              <w:rPr>
                <w:rFonts w:ascii="Times New Roman" w:eastAsia="Times New Roman" w:hAnsi="Times New Roman" w:cs="Times New Roman"/>
                <w:sz w:val="24"/>
                <w:szCs w:val="24"/>
              </w:rPr>
            </w:pPr>
            <w:r w:rsidRPr="00E2453C">
              <w:rPr>
                <w:rFonts w:ascii="Simplified Arabic" w:eastAsia="Times New Roman" w:hAnsi="Simplified Arabic" w:cs="Simplified Arabic"/>
                <w:b/>
                <w:bCs/>
                <w:sz w:val="36"/>
                <w:szCs w:val="36"/>
                <w:rtl/>
              </w:rPr>
              <w:t>عودة اللاجئين الفلسطينيين: "بعض عناصر سوسيولوجيا العودة"</w:t>
            </w:r>
          </w:p>
          <w:p w:rsidR="00E2453C" w:rsidRPr="00E2453C" w:rsidRDefault="00E2453C" w:rsidP="00E2453C">
            <w:pPr>
              <w:bidi/>
              <w:spacing w:after="0" w:line="240" w:lineRule="auto"/>
              <w:ind w:firstLine="720"/>
              <w:jc w:val="right"/>
              <w:rPr>
                <w:rFonts w:ascii="Times New Roman" w:eastAsia="Times New Roman" w:hAnsi="Times New Roman" w:cs="Times New Roman"/>
                <w:sz w:val="24"/>
                <w:szCs w:val="24"/>
                <w:rtl/>
              </w:rPr>
            </w:pPr>
            <w:r w:rsidRPr="00E2453C">
              <w:rPr>
                <w:rFonts w:ascii="Simplified Arabic" w:eastAsia="Times New Roman" w:hAnsi="Simplified Arabic" w:cs="Simplified Arabic"/>
                <w:sz w:val="32"/>
                <w:szCs w:val="32"/>
                <w:rtl/>
              </w:rPr>
              <w:t>د.ساري حنفي</w:t>
            </w:r>
            <w:bookmarkStart w:id="0" w:name="_ftnref1"/>
            <w:r w:rsidRPr="00E2453C">
              <w:rPr>
                <w:rFonts w:ascii="Simplified Arabic" w:eastAsia="Times New Roman" w:hAnsi="Simplified Arabic" w:cs="Simplified Arabic"/>
                <w:sz w:val="32"/>
                <w:szCs w:val="32"/>
                <w:rtl/>
              </w:rPr>
              <w:fldChar w:fldCharType="begin"/>
            </w:r>
            <w:r w:rsidRPr="00E2453C">
              <w:rPr>
                <w:rFonts w:ascii="Simplified Arabic" w:eastAsia="Times New Roman" w:hAnsi="Simplified Arabic" w:cs="Simplified Arabic"/>
                <w:sz w:val="32"/>
                <w:szCs w:val="32"/>
                <w:rtl/>
              </w:rPr>
              <w:instrText xml:space="preserve"> </w:instrText>
            </w:r>
            <w:r w:rsidRPr="00E2453C">
              <w:rPr>
                <w:rFonts w:ascii="Simplified Arabic" w:eastAsia="Times New Roman" w:hAnsi="Simplified Arabic" w:cs="Simplified Arabic"/>
                <w:sz w:val="32"/>
                <w:szCs w:val="32"/>
              </w:rPr>
              <w:instrText>HYPERLINK "http://146.185.164.77/passia.org/meetings/2003/Nov-13-Text-arabic.htm" \l "_ftn1" \o</w:instrText>
            </w:r>
            <w:r w:rsidRPr="00E2453C">
              <w:rPr>
                <w:rFonts w:ascii="Simplified Arabic" w:eastAsia="Times New Roman" w:hAnsi="Simplified Arabic" w:cs="Simplified Arabic"/>
                <w:sz w:val="32"/>
                <w:szCs w:val="32"/>
                <w:rtl/>
              </w:rPr>
              <w:instrText xml:space="preserve"> "" </w:instrText>
            </w:r>
            <w:r w:rsidRPr="00E2453C">
              <w:rPr>
                <w:rFonts w:ascii="Simplified Arabic" w:eastAsia="Times New Roman" w:hAnsi="Simplified Arabic" w:cs="Simplified Arabic"/>
                <w:sz w:val="32"/>
                <w:szCs w:val="32"/>
                <w:rtl/>
              </w:rPr>
              <w:fldChar w:fldCharType="separate"/>
            </w:r>
            <w:r w:rsidRPr="00E2453C">
              <w:rPr>
                <w:rFonts w:ascii="Simplified Arabic" w:eastAsia="Times New Roman" w:hAnsi="Simplified Arabic" w:cs="Simplified Arabic"/>
                <w:color w:val="800080"/>
                <w:sz w:val="32"/>
                <w:szCs w:val="32"/>
                <w:u w:val="single"/>
                <w:vertAlign w:val="superscript"/>
              </w:rPr>
              <w:t> </w:t>
            </w:r>
            <w:r w:rsidRPr="00E2453C">
              <w:rPr>
                <w:rFonts w:ascii="Simplified Arabic" w:eastAsia="Times New Roman" w:hAnsi="Simplified Arabic" w:cs="Simplified Arabic"/>
                <w:color w:val="800080"/>
                <w:sz w:val="24"/>
                <w:szCs w:val="24"/>
                <w:u w:val="single"/>
                <w:vertAlign w:val="superscript"/>
              </w:rPr>
              <w:t>[1]</w:t>
            </w:r>
            <w:r w:rsidRPr="00E2453C">
              <w:rPr>
                <w:rFonts w:ascii="Simplified Arabic" w:eastAsia="Times New Roman" w:hAnsi="Simplified Arabic" w:cs="Simplified Arabic"/>
                <w:sz w:val="32"/>
                <w:szCs w:val="32"/>
                <w:rtl/>
              </w:rPr>
              <w:fldChar w:fldCharType="end"/>
            </w:r>
            <w:bookmarkEnd w:id="0"/>
          </w:p>
          <w:p w:rsidR="00E2453C" w:rsidRPr="00E2453C" w:rsidRDefault="00E2453C" w:rsidP="00E2453C">
            <w:pPr>
              <w:bidi/>
              <w:spacing w:before="240" w:after="60" w:line="240" w:lineRule="auto"/>
              <w:outlineLvl w:val="1"/>
              <w:rPr>
                <w:rFonts w:ascii="Arial" w:eastAsia="Times New Roman" w:hAnsi="Arial" w:cs="Arial"/>
                <w:b/>
                <w:bCs/>
                <w:i/>
                <w:iCs/>
                <w:sz w:val="28"/>
                <w:szCs w:val="28"/>
                <w:rtl/>
              </w:rPr>
            </w:pPr>
            <w:bookmarkStart w:id="1" w:name="_Toc45350902"/>
            <w:r w:rsidRPr="00E2453C">
              <w:rPr>
                <w:rFonts w:ascii="Arial" w:eastAsia="Times New Roman" w:hAnsi="Arial" w:cs="Arial" w:hint="cs"/>
                <w:b/>
                <w:bCs/>
                <w:i/>
                <w:iCs/>
                <w:sz w:val="28"/>
                <w:szCs w:val="28"/>
                <w:rtl/>
              </w:rPr>
              <w:t> الحياة في المخيمات</w:t>
            </w:r>
            <w:bookmarkEnd w:id="1"/>
          </w:p>
          <w:p w:rsidR="00E2453C" w:rsidRPr="00E2453C" w:rsidRDefault="00E2453C" w:rsidP="00E2453C">
            <w:pPr>
              <w:bidi/>
              <w:spacing w:after="120" w:line="240" w:lineRule="auto"/>
              <w:jc w:val="both"/>
              <w:rPr>
                <w:rFonts w:ascii="Times New Roman" w:eastAsia="Times New Roman" w:hAnsi="Times New Roman" w:cs="Times New Roman"/>
                <w:sz w:val="24"/>
                <w:szCs w:val="24"/>
                <w:rtl/>
              </w:rPr>
            </w:pPr>
            <w:r w:rsidRPr="00E2453C">
              <w:rPr>
                <w:rFonts w:ascii="Simplified Arabic" w:eastAsia="Times New Roman" w:hAnsi="Simplified Arabic" w:cs="Simplified Arabic"/>
                <w:sz w:val="28"/>
                <w:szCs w:val="28"/>
                <w:rtl/>
              </w:rPr>
              <w:t>        </w:t>
            </w:r>
            <w:proofErr w:type="gramStart"/>
            <w:r w:rsidRPr="00E2453C">
              <w:rPr>
                <w:rFonts w:ascii="Simplified Arabic" w:eastAsia="Times New Roman" w:hAnsi="Simplified Arabic" w:cs="Simplified Arabic"/>
                <w:sz w:val="28"/>
                <w:szCs w:val="28"/>
                <w:rtl/>
              </w:rPr>
              <w:t>يلعب</w:t>
            </w:r>
            <w:proofErr w:type="gramEnd"/>
            <w:r w:rsidRPr="00E2453C">
              <w:rPr>
                <w:rFonts w:ascii="Simplified Arabic" w:eastAsia="Times New Roman" w:hAnsi="Simplified Arabic" w:cs="Simplified Arabic"/>
                <w:sz w:val="28"/>
                <w:szCs w:val="28"/>
                <w:rtl/>
              </w:rPr>
              <w:t xml:space="preserve"> الوضع الاجتماعي الاقتصادي والمكان الحضري والوضع القانوني للاجئين الفلسطينيين في بلاد اللجوء دوراً حاسماً في تشجيع أو تثبيط عودة اللاجئين. سنركز هنا فقط على إشكالية </w:t>
            </w:r>
            <w:proofErr w:type="gramStart"/>
            <w:r w:rsidRPr="00E2453C">
              <w:rPr>
                <w:rFonts w:ascii="Simplified Arabic" w:eastAsia="Times New Roman" w:hAnsi="Simplified Arabic" w:cs="Simplified Arabic"/>
                <w:sz w:val="28"/>
                <w:szCs w:val="28"/>
                <w:rtl/>
              </w:rPr>
              <w:t>المخيمات</w:t>
            </w:r>
            <w:proofErr w:type="gramEnd"/>
            <w:r w:rsidRPr="00E2453C">
              <w:rPr>
                <w:rFonts w:ascii="Simplified Arabic" w:eastAsia="Times New Roman" w:hAnsi="Simplified Arabic" w:cs="Simplified Arabic"/>
                <w:sz w:val="28"/>
                <w:szCs w:val="28"/>
                <w:rtl/>
              </w:rPr>
              <w:t xml:space="preserve"> في الأراضي الفلسطينية.</w:t>
            </w:r>
          </w:p>
          <w:p w:rsidR="00E2453C" w:rsidRPr="00E2453C" w:rsidRDefault="00E2453C" w:rsidP="00E2453C">
            <w:pPr>
              <w:bidi/>
              <w:spacing w:after="120" w:line="240" w:lineRule="auto"/>
              <w:jc w:val="both"/>
              <w:rPr>
                <w:rFonts w:ascii="Times New Roman" w:eastAsia="Times New Roman" w:hAnsi="Times New Roman" w:cs="Times New Roman"/>
                <w:sz w:val="24"/>
                <w:szCs w:val="24"/>
                <w:rtl/>
              </w:rPr>
            </w:pPr>
            <w:r w:rsidRPr="00E2453C">
              <w:rPr>
                <w:rFonts w:ascii="Simplified Arabic" w:eastAsia="Times New Roman" w:hAnsi="Simplified Arabic" w:cs="Simplified Arabic"/>
                <w:sz w:val="28"/>
                <w:szCs w:val="28"/>
                <w:rtl/>
              </w:rPr>
              <w:t xml:space="preserve">        حيث يظهر المجتمع الفلسطيني في الضفة الغربية وغزة </w:t>
            </w:r>
            <w:proofErr w:type="gramStart"/>
            <w:r w:rsidRPr="00E2453C">
              <w:rPr>
                <w:rFonts w:ascii="Simplified Arabic" w:eastAsia="Times New Roman" w:hAnsi="Simplified Arabic" w:cs="Simplified Arabic"/>
                <w:sz w:val="28"/>
                <w:szCs w:val="28"/>
                <w:rtl/>
              </w:rPr>
              <w:t>على</w:t>
            </w:r>
            <w:proofErr w:type="gramEnd"/>
            <w:r w:rsidRPr="00E2453C">
              <w:rPr>
                <w:rFonts w:ascii="Simplified Arabic" w:eastAsia="Times New Roman" w:hAnsi="Simplified Arabic" w:cs="Simplified Arabic"/>
                <w:sz w:val="28"/>
                <w:szCs w:val="28"/>
                <w:rtl/>
              </w:rPr>
              <w:t xml:space="preserve"> انه مجتمعاً لا يساعد كثيراً على الاندماج. لا للعائدين الذين قدموا منذ بدء عملية اوسلو، ولا حتى للاجئين الذين يمكثون في المخيمات منذ أمد طويل (خمسة وخمسون عاماً). ويمكن عزو ذلك لسببين الأول يكمن في شرذمة هذا المجتمع وبقاء جذور البنية القبلية والمحلية والطائفية إلى حد اقل بكثير راسخة في تجمعاته والسبب الآخر يتمثل في ارتباط عناصر كثيرة فيه بفضاء يتجاوز الفضاء الوطني إلى الفضاء الشتاتي.</w:t>
            </w:r>
          </w:p>
          <w:p w:rsidR="00E2453C" w:rsidRPr="00E2453C" w:rsidRDefault="00E2453C" w:rsidP="00E2453C">
            <w:pPr>
              <w:bidi/>
              <w:spacing w:after="120" w:line="240" w:lineRule="auto"/>
              <w:jc w:val="both"/>
              <w:rPr>
                <w:rFonts w:ascii="Times New Roman" w:eastAsia="Times New Roman" w:hAnsi="Times New Roman" w:cs="Times New Roman"/>
                <w:sz w:val="24"/>
                <w:szCs w:val="24"/>
                <w:rtl/>
              </w:rPr>
            </w:pPr>
            <w:r w:rsidRPr="00E2453C">
              <w:rPr>
                <w:rFonts w:ascii="Simplified Arabic" w:eastAsia="Times New Roman" w:hAnsi="Simplified Arabic" w:cs="Simplified Arabic"/>
                <w:sz w:val="28"/>
                <w:szCs w:val="28"/>
                <w:rtl/>
              </w:rPr>
              <w:t>        </w:t>
            </w:r>
            <w:proofErr w:type="gramStart"/>
            <w:r w:rsidRPr="00E2453C">
              <w:rPr>
                <w:rFonts w:ascii="Simplified Arabic" w:eastAsia="Times New Roman" w:hAnsi="Simplified Arabic" w:cs="Simplified Arabic"/>
                <w:sz w:val="28"/>
                <w:szCs w:val="28"/>
                <w:rtl/>
              </w:rPr>
              <w:t>وبقدر</w:t>
            </w:r>
            <w:proofErr w:type="gramEnd"/>
            <w:r w:rsidRPr="00E2453C">
              <w:rPr>
                <w:rFonts w:ascii="Simplified Arabic" w:eastAsia="Times New Roman" w:hAnsi="Simplified Arabic" w:cs="Simplified Arabic"/>
                <w:sz w:val="28"/>
                <w:szCs w:val="28"/>
                <w:rtl/>
              </w:rPr>
              <w:t xml:space="preserve"> ما دمج المجتمع المحلي الفلسطيني لاجئين الماكثين خارج المخيمات بقدر ما كان هذا الدمج إشكالي في داخلها. فلا يمكن تفسير صعوبة الدمج إلى الوضع الاجتماعي المتواضع لسكان المخيمات ولكن فقط) أولية حضرية </w:t>
            </w:r>
            <w:r w:rsidRPr="00E2453C">
              <w:rPr>
                <w:rFonts w:ascii="Times New Roman" w:eastAsia="Times New Roman" w:hAnsi="Times New Roman" w:cs="Times New Roman"/>
                <w:sz w:val="28"/>
                <w:szCs w:val="28"/>
              </w:rPr>
              <w:t>(urban issue)</w:t>
            </w:r>
            <w:r w:rsidRPr="00E2453C">
              <w:rPr>
                <w:rFonts w:ascii="Simplified Arabic" w:eastAsia="Times New Roman" w:hAnsi="Simplified Arabic" w:cs="Simplified Arabic"/>
                <w:sz w:val="28"/>
                <w:szCs w:val="28"/>
                <w:rtl/>
              </w:rPr>
              <w:t> </w:t>
            </w:r>
            <w:r w:rsidRPr="00E2453C">
              <w:rPr>
                <w:rFonts w:ascii="Simplified Arabic" w:eastAsia="Times New Roman" w:hAnsi="Simplified Arabic" w:cs="Simplified Arabic" w:hint="cs"/>
                <w:sz w:val="28"/>
                <w:szCs w:val="28"/>
                <w:rtl/>
              </w:rPr>
              <w:t>بالرغم أنه لدى 40% من اللاجئين الفلسطينيين على الأقل قريب متزوج من السكان المحليين، حسب البحث الميداني لـ </w:t>
            </w:r>
            <w:r w:rsidRPr="00E2453C">
              <w:rPr>
                <w:rFonts w:ascii="Times New Roman" w:eastAsia="Times New Roman" w:hAnsi="Times New Roman" w:cs="Times New Roman"/>
                <w:sz w:val="28"/>
                <w:szCs w:val="28"/>
              </w:rPr>
              <w:t>PSR</w:t>
            </w:r>
            <w:r w:rsidRPr="00E2453C">
              <w:rPr>
                <w:rFonts w:ascii="Simplified Arabic" w:eastAsia="Times New Roman" w:hAnsi="Simplified Arabic" w:cs="Simplified Arabic"/>
                <w:sz w:val="28"/>
                <w:szCs w:val="28"/>
                <w:rtl/>
              </w:rPr>
              <w:t> إلا أن هذه النسبة هي اقل بكثير لسكاني المخيمات.</w:t>
            </w:r>
          </w:p>
          <w:p w:rsidR="00E2453C" w:rsidRPr="00E2453C" w:rsidRDefault="00E2453C" w:rsidP="00E2453C">
            <w:pPr>
              <w:bidi/>
              <w:spacing w:after="0" w:line="240" w:lineRule="auto"/>
              <w:jc w:val="both"/>
              <w:rPr>
                <w:rFonts w:ascii="Times New Roman" w:eastAsia="Times New Roman" w:hAnsi="Times New Roman" w:cs="Times New Roman"/>
                <w:sz w:val="24"/>
                <w:szCs w:val="24"/>
                <w:rtl/>
              </w:rPr>
            </w:pPr>
            <w:proofErr w:type="gramStart"/>
            <w:r w:rsidRPr="00E2453C">
              <w:rPr>
                <w:rFonts w:ascii="Simplified Arabic" w:eastAsia="Times New Roman" w:hAnsi="Simplified Arabic" w:cs="Simplified Arabic"/>
                <w:sz w:val="28"/>
                <w:szCs w:val="28"/>
                <w:rtl/>
              </w:rPr>
              <w:t>هناك</w:t>
            </w:r>
            <w:proofErr w:type="gramEnd"/>
            <w:r w:rsidRPr="00E2453C">
              <w:rPr>
                <w:rFonts w:ascii="Simplified Arabic" w:eastAsia="Times New Roman" w:hAnsi="Simplified Arabic" w:cs="Simplified Arabic"/>
                <w:sz w:val="28"/>
                <w:szCs w:val="28"/>
                <w:rtl/>
              </w:rPr>
              <w:t xml:space="preserve"> وهماً فلسطينياً وعربياً يتمثل في الربط ربطاً عضوياً بين قضية اللاجئين وبين وجودهم في المخيمات</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 xml:space="preserve">، باعتبار أن اللاجئ يفقد ورقة من أوراقه التفاوضية إن كان خارج المخيم. </w:t>
            </w:r>
            <w:proofErr w:type="gramStart"/>
            <w:r w:rsidRPr="00E2453C">
              <w:rPr>
                <w:rFonts w:ascii="Simplified Arabic" w:eastAsia="Times New Roman" w:hAnsi="Simplified Arabic" w:cs="Simplified Arabic"/>
                <w:sz w:val="28"/>
                <w:szCs w:val="28"/>
                <w:rtl/>
              </w:rPr>
              <w:t>وكأنه</w:t>
            </w:r>
            <w:proofErr w:type="gramEnd"/>
            <w:r w:rsidRPr="00E2453C">
              <w:rPr>
                <w:rFonts w:ascii="Simplified Arabic" w:eastAsia="Times New Roman" w:hAnsi="Simplified Arabic" w:cs="Simplified Arabic"/>
                <w:sz w:val="28"/>
                <w:szCs w:val="28"/>
                <w:rtl/>
              </w:rPr>
              <w:t xml:space="preserve"> حوّل مفهوم اللاجئ من مفهوم قانوني إلى مفهوم اقتصادي (اللاجئ هو الفقير فقط)  أو إلى مفهوم جغرافي (اللاجئ هو الذي يسكن في مخيم بائس). </w:t>
            </w:r>
            <w:proofErr w:type="gramStart"/>
            <w:r w:rsidRPr="00E2453C">
              <w:rPr>
                <w:rFonts w:ascii="Simplified Arabic" w:eastAsia="Times New Roman" w:hAnsi="Simplified Arabic" w:cs="Simplified Arabic"/>
                <w:sz w:val="28"/>
                <w:szCs w:val="28"/>
                <w:rtl/>
              </w:rPr>
              <w:t>ولعل</w:t>
            </w:r>
            <w:proofErr w:type="gramEnd"/>
            <w:r w:rsidRPr="00E2453C">
              <w:rPr>
                <w:rFonts w:ascii="Simplified Arabic" w:eastAsia="Times New Roman" w:hAnsi="Simplified Arabic" w:cs="Simplified Arabic"/>
                <w:sz w:val="28"/>
                <w:szCs w:val="28"/>
                <w:rtl/>
              </w:rPr>
              <w:t xml:space="preserve"> مثل هذا المفهوم هو الذي جعل هناك شيئاً من التقاعس في تحسين المخيمات</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في الضفة الغربية</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ووجود مخيمات بتمديدات صحية مكشوفة للهواء الطلق حتى الآن. وأدى هذا الربط بين اللاجئ والمخيم إلى إخفاق الجهات المعنية في السلطة الوطنية الفلسطينية</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لإيجاد حل وسط بين أهالي بعض المخيمات</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من جهة و"الأونروا" المسؤولة عن تشغيل وإعانة اللاجئين الفلسطينيين من جهة أخرى. فحين اقترحت هذه الأخيرة على سكان بعض مخيمات الضفة الغربية</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 xml:space="preserve">التي تتميز بالأوضاع الصحية والاجتماعية المتدهورة </w:t>
            </w:r>
            <w:r w:rsidRPr="00E2453C">
              <w:rPr>
                <w:rFonts w:ascii="Simplified Arabic" w:eastAsia="Times New Roman" w:hAnsi="Simplified Arabic" w:cs="Simplified Arabic"/>
                <w:sz w:val="28"/>
                <w:szCs w:val="28"/>
                <w:rtl/>
              </w:rPr>
              <w:lastRenderedPageBreak/>
              <w:t xml:space="preserve">جداً، دفع مبلغ مقطوع لهم لشراء بيت خارج المخيم مقابل أن توقف معوناتها لهم في المستقبل، رفض بعض المسؤولين في السلطة الفلسطينية ذلك. </w:t>
            </w:r>
            <w:proofErr w:type="gramStart"/>
            <w:r w:rsidRPr="00E2453C">
              <w:rPr>
                <w:rFonts w:ascii="Simplified Arabic" w:eastAsia="Times New Roman" w:hAnsi="Simplified Arabic" w:cs="Simplified Arabic"/>
                <w:sz w:val="28"/>
                <w:szCs w:val="28"/>
                <w:rtl/>
              </w:rPr>
              <w:t>ولا</w:t>
            </w:r>
            <w:proofErr w:type="gramEnd"/>
            <w:r w:rsidRPr="00E2453C">
              <w:rPr>
                <w:rFonts w:ascii="Simplified Arabic" w:eastAsia="Times New Roman" w:hAnsi="Simplified Arabic" w:cs="Simplified Arabic"/>
                <w:sz w:val="28"/>
                <w:szCs w:val="28"/>
                <w:rtl/>
              </w:rPr>
              <w:t xml:space="preserve"> أدعي هنا أنه كان على هذه السلطة أن تقبل. ولكن لم تكن هناك مفاوضات </w:t>
            </w:r>
            <w:proofErr w:type="gramStart"/>
            <w:r w:rsidRPr="00E2453C">
              <w:rPr>
                <w:rFonts w:ascii="Simplified Arabic" w:eastAsia="Times New Roman" w:hAnsi="Simplified Arabic" w:cs="Simplified Arabic"/>
                <w:sz w:val="28"/>
                <w:szCs w:val="28"/>
                <w:rtl/>
              </w:rPr>
              <w:t>جادة</w:t>
            </w:r>
            <w:proofErr w:type="gramEnd"/>
            <w:r w:rsidRPr="00E2453C">
              <w:rPr>
                <w:rFonts w:ascii="Simplified Arabic" w:eastAsia="Times New Roman" w:hAnsi="Simplified Arabic" w:cs="Simplified Arabic"/>
                <w:sz w:val="28"/>
                <w:szCs w:val="28"/>
                <w:rtl/>
              </w:rPr>
              <w:t xml:space="preserve"> في التعامل مع هذه القضية. وفي انتظار ذلك يخرج الفلسطيني من بعض المخيمات</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من دون أن تقوم الاونروا</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بإعطائه أي مساعدة. ويعكس ذلك بعض الأحيان غياب رؤية واضحة عن كيفية التعامل مع اللاجئ، فلا يمكن مثلا فهم السياسة التي اتبعتها السلطة الوطنية الفلسطينية</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فيما يتعلق بالانتخابات المحلية، فكما يبدو سوف ينتخب اللاجئ في غزة</w:t>
            </w:r>
            <w:r w:rsidRPr="00E2453C">
              <w:rPr>
                <w:rFonts w:ascii="Times New Roman" w:eastAsia="Times New Roman" w:hAnsi="Times New Roman" w:cs="Times New Roman"/>
                <w:sz w:val="24"/>
                <w:szCs w:val="24"/>
                <w:rtl/>
              </w:rPr>
              <w:t> </w:t>
            </w:r>
            <w:r w:rsidRPr="00E2453C">
              <w:rPr>
                <w:rFonts w:ascii="Simplified Arabic" w:eastAsia="Times New Roman" w:hAnsi="Simplified Arabic" w:cs="Simplified Arabic"/>
                <w:sz w:val="28"/>
                <w:szCs w:val="28"/>
                <w:rtl/>
              </w:rPr>
              <w:t>(أينما كان)، في حين لا يسمح للاجئ في الضفة بذلك إذا كان يقيم في المخيم.</w:t>
            </w:r>
          </w:p>
          <w:p w:rsidR="00E2453C" w:rsidRPr="00E2453C" w:rsidRDefault="00E2453C" w:rsidP="00E2453C">
            <w:pPr>
              <w:bidi/>
              <w:spacing w:after="0" w:line="240" w:lineRule="auto"/>
              <w:jc w:val="both"/>
              <w:rPr>
                <w:rFonts w:ascii="Times New Roman" w:eastAsia="Times New Roman" w:hAnsi="Times New Roman" w:cs="Times New Roman"/>
                <w:sz w:val="24"/>
                <w:szCs w:val="24"/>
                <w:rtl/>
              </w:rPr>
            </w:pPr>
            <w:r w:rsidRPr="00E2453C">
              <w:rPr>
                <w:rFonts w:ascii="Simplified Arabic" w:eastAsia="Times New Roman" w:hAnsi="Simplified Arabic" w:cs="Simplified Arabic"/>
                <w:sz w:val="28"/>
                <w:szCs w:val="28"/>
                <w:rtl/>
              </w:rPr>
              <w:t>وعلى الرغم من النظر إلى المخيم على أنه فضاء مؤقت لحين العودة، فإن هناك مخيمات قد استطاعت أن تندمج فيالعودة أوجغرافي الذي تعيش فيه، كما هو الحال على سبيل المثال في مخيم الوحدات، موضحة ذلك الباحثة اللبنانية هناء جابر </w:t>
            </w:r>
            <w:r w:rsidRPr="00E2453C">
              <w:rPr>
                <w:rFonts w:ascii="Times New Roman" w:eastAsia="Times New Roman" w:hAnsi="Times New Roman" w:cs="Times New Roman"/>
                <w:sz w:val="28"/>
                <w:szCs w:val="28"/>
              </w:rPr>
              <w:t>(Jaber, 1997: 255)</w:t>
            </w:r>
            <w:r w:rsidRPr="00E2453C">
              <w:rPr>
                <w:rFonts w:ascii="Simplified Arabic" w:eastAsia="Times New Roman" w:hAnsi="Simplified Arabic" w:cs="Simplified Arabic"/>
                <w:sz w:val="28"/>
                <w:szCs w:val="28"/>
                <w:rtl/>
              </w:rPr>
              <w:t xml:space="preserve">، ومخيم اليرموك. </w:t>
            </w:r>
            <w:proofErr w:type="gramStart"/>
            <w:r w:rsidRPr="00E2453C">
              <w:rPr>
                <w:rFonts w:ascii="Simplified Arabic" w:eastAsia="Times New Roman" w:hAnsi="Simplified Arabic" w:cs="Simplified Arabic"/>
                <w:sz w:val="28"/>
                <w:szCs w:val="28"/>
                <w:rtl/>
              </w:rPr>
              <w:t>في</w:t>
            </w:r>
            <w:proofErr w:type="gramEnd"/>
            <w:r w:rsidRPr="00E2453C">
              <w:rPr>
                <w:rFonts w:ascii="Simplified Arabic" w:eastAsia="Times New Roman" w:hAnsi="Simplified Arabic" w:cs="Simplified Arabic"/>
                <w:sz w:val="28"/>
                <w:szCs w:val="28"/>
                <w:rtl/>
              </w:rPr>
              <w:t xml:space="preserve"> حين تشكل مخيمات أخرى إشكاليات حقيقية في كيفية تحويلهم إلى فضاء يستحق الإنسان أن يعيش فيه بانتظار العودة  أو خيار العودة.</w:t>
            </w:r>
          </w:p>
          <w:p w:rsidR="00E2453C" w:rsidRPr="00E2453C" w:rsidRDefault="00E2453C" w:rsidP="00E2453C">
            <w:pPr>
              <w:bidi/>
              <w:spacing w:after="120" w:line="240" w:lineRule="auto"/>
              <w:jc w:val="both"/>
              <w:rPr>
                <w:rFonts w:ascii="Times New Roman" w:eastAsia="Times New Roman" w:hAnsi="Times New Roman" w:cs="Times New Roman"/>
                <w:sz w:val="24"/>
                <w:szCs w:val="24"/>
                <w:rtl/>
              </w:rPr>
            </w:pPr>
            <w:proofErr w:type="gramStart"/>
            <w:r w:rsidRPr="00E2453C">
              <w:rPr>
                <w:rFonts w:ascii="Simplified Arabic" w:eastAsia="Times New Roman" w:hAnsi="Simplified Arabic" w:cs="Simplified Arabic"/>
                <w:sz w:val="28"/>
                <w:szCs w:val="28"/>
                <w:rtl/>
              </w:rPr>
              <w:t>في</w:t>
            </w:r>
            <w:proofErr w:type="gramEnd"/>
            <w:r w:rsidRPr="00E2453C">
              <w:rPr>
                <w:rFonts w:ascii="Simplified Arabic" w:eastAsia="Times New Roman" w:hAnsi="Simplified Arabic" w:cs="Simplified Arabic"/>
                <w:sz w:val="28"/>
                <w:szCs w:val="28"/>
                <w:rtl/>
              </w:rPr>
              <w:t xml:space="preserve"> الأراضي الفلسطينية هناك 1.460.396 </w:t>
            </w:r>
            <w:proofErr w:type="gramStart"/>
            <w:r w:rsidRPr="00E2453C">
              <w:rPr>
                <w:rFonts w:ascii="Simplified Arabic" w:eastAsia="Times New Roman" w:hAnsi="Simplified Arabic" w:cs="Simplified Arabic"/>
                <w:sz w:val="28"/>
                <w:szCs w:val="28"/>
                <w:rtl/>
              </w:rPr>
              <w:t>لاجئ</w:t>
            </w:r>
            <w:proofErr w:type="gramEnd"/>
            <w:r w:rsidRPr="00E2453C">
              <w:rPr>
                <w:rFonts w:ascii="Simplified Arabic" w:eastAsia="Times New Roman" w:hAnsi="Simplified Arabic" w:cs="Simplified Arabic"/>
                <w:sz w:val="28"/>
                <w:szCs w:val="28"/>
                <w:rtl/>
              </w:rPr>
              <w:t xml:space="preserve"> فلسطيني (منهم 607.915 يقطن في المخيمات) في الضفة الغربية من بين 607.770 لاجئ هناك 24% </w:t>
            </w:r>
            <w:proofErr w:type="gramStart"/>
            <w:r w:rsidRPr="00E2453C">
              <w:rPr>
                <w:rFonts w:ascii="Simplified Arabic" w:eastAsia="Times New Roman" w:hAnsi="Simplified Arabic" w:cs="Simplified Arabic"/>
                <w:sz w:val="28"/>
                <w:szCs w:val="28"/>
                <w:rtl/>
              </w:rPr>
              <w:t>يقطنون</w:t>
            </w:r>
            <w:proofErr w:type="gramEnd"/>
            <w:r w:rsidRPr="00E2453C">
              <w:rPr>
                <w:rFonts w:ascii="Simplified Arabic" w:eastAsia="Times New Roman" w:hAnsi="Simplified Arabic" w:cs="Simplified Arabic"/>
                <w:sz w:val="28"/>
                <w:szCs w:val="28"/>
                <w:rtl/>
              </w:rPr>
              <w:t xml:space="preserve"> في المخيمات (147.884). </w:t>
            </w:r>
            <w:proofErr w:type="gramStart"/>
            <w:r w:rsidRPr="00E2453C">
              <w:rPr>
                <w:rFonts w:ascii="Simplified Arabic" w:eastAsia="Times New Roman" w:hAnsi="Simplified Arabic" w:cs="Simplified Arabic"/>
                <w:sz w:val="28"/>
                <w:szCs w:val="28"/>
                <w:rtl/>
              </w:rPr>
              <w:t>أما</w:t>
            </w:r>
            <w:proofErr w:type="gramEnd"/>
            <w:r w:rsidRPr="00E2453C">
              <w:rPr>
                <w:rFonts w:ascii="Simplified Arabic" w:eastAsia="Times New Roman" w:hAnsi="Simplified Arabic" w:cs="Simplified Arabic"/>
                <w:sz w:val="28"/>
                <w:szCs w:val="28"/>
                <w:rtl/>
              </w:rPr>
              <w:t xml:space="preserve"> في غزة فالنسبة أعلى فمن بين 852.626 لاجئ هناك 53% من اللاجئين </w:t>
            </w:r>
            <w:proofErr w:type="gramStart"/>
            <w:r w:rsidRPr="00E2453C">
              <w:rPr>
                <w:rFonts w:ascii="Simplified Arabic" w:eastAsia="Times New Roman" w:hAnsi="Simplified Arabic" w:cs="Simplified Arabic"/>
                <w:sz w:val="28"/>
                <w:szCs w:val="28"/>
                <w:rtl/>
              </w:rPr>
              <w:t>يقطنون</w:t>
            </w:r>
            <w:proofErr w:type="gramEnd"/>
            <w:r w:rsidRPr="00E2453C">
              <w:rPr>
                <w:rFonts w:ascii="Simplified Arabic" w:eastAsia="Times New Roman" w:hAnsi="Simplified Arabic" w:cs="Simplified Arabic"/>
                <w:sz w:val="28"/>
                <w:szCs w:val="28"/>
                <w:rtl/>
              </w:rPr>
              <w:t xml:space="preserve"> في المخيمات (460.031) وذلك حسب حسين الريماوي وهناء البخاري (</w:t>
            </w:r>
            <w:r w:rsidRPr="00E2453C">
              <w:rPr>
                <w:rFonts w:ascii="Times New Roman" w:eastAsia="Times New Roman" w:hAnsi="Times New Roman" w:cs="Times New Roman"/>
                <w:sz w:val="28"/>
                <w:szCs w:val="28"/>
              </w:rPr>
              <w:t>2002:23-24</w:t>
            </w:r>
            <w:r w:rsidRPr="00E2453C">
              <w:rPr>
                <w:rFonts w:ascii="Simplified Arabic" w:eastAsia="Times New Roman" w:hAnsi="Simplified Arabic" w:cs="Simplified Arabic"/>
                <w:sz w:val="28"/>
                <w:szCs w:val="28"/>
                <w:rtl/>
              </w:rPr>
              <w:t>)</w:t>
            </w:r>
            <w:bookmarkStart w:id="2" w:name="_ftnref2"/>
            <w:r w:rsidRPr="00E2453C">
              <w:rPr>
                <w:rFonts w:ascii="Simplified Arabic" w:eastAsia="Times New Roman" w:hAnsi="Simplified Arabic" w:cs="Simplified Arabic"/>
                <w:sz w:val="28"/>
                <w:szCs w:val="28"/>
                <w:rtl/>
              </w:rPr>
              <w:fldChar w:fldCharType="begin"/>
            </w:r>
            <w:r w:rsidRPr="00E2453C">
              <w:rPr>
                <w:rFonts w:ascii="Simplified Arabic" w:eastAsia="Times New Roman" w:hAnsi="Simplified Arabic" w:cs="Simplified Arabic"/>
                <w:sz w:val="28"/>
                <w:szCs w:val="28"/>
                <w:rtl/>
              </w:rPr>
              <w:instrText xml:space="preserve"> </w:instrText>
            </w:r>
            <w:r w:rsidRPr="00E2453C">
              <w:rPr>
                <w:rFonts w:ascii="Simplified Arabic" w:eastAsia="Times New Roman" w:hAnsi="Simplified Arabic" w:cs="Simplified Arabic"/>
                <w:sz w:val="28"/>
                <w:szCs w:val="28"/>
              </w:rPr>
              <w:instrText>HYPERLINK "http://146.185.164.77/passia.org/meetings/2003/Nov-13-Text-arabic.htm" \l "_ftn2" \o</w:instrText>
            </w:r>
            <w:r w:rsidRPr="00E2453C">
              <w:rPr>
                <w:rFonts w:ascii="Simplified Arabic" w:eastAsia="Times New Roman" w:hAnsi="Simplified Arabic" w:cs="Simplified Arabic"/>
                <w:sz w:val="28"/>
                <w:szCs w:val="28"/>
                <w:rtl/>
              </w:rPr>
              <w:instrText xml:space="preserve"> "" </w:instrText>
            </w:r>
            <w:r w:rsidRPr="00E2453C">
              <w:rPr>
                <w:rFonts w:ascii="Simplified Arabic" w:eastAsia="Times New Roman" w:hAnsi="Simplified Arabic" w:cs="Simplified Arabic"/>
                <w:sz w:val="28"/>
                <w:szCs w:val="28"/>
                <w:rtl/>
              </w:rPr>
              <w:fldChar w:fldCharType="separate"/>
            </w:r>
            <w:r w:rsidRPr="00E2453C">
              <w:rPr>
                <w:rFonts w:ascii="Simplified Arabic" w:eastAsia="Times New Roman" w:hAnsi="Simplified Arabic" w:cs="Simplified Arabic"/>
                <w:color w:val="800080"/>
                <w:sz w:val="28"/>
                <w:szCs w:val="28"/>
                <w:u w:val="single"/>
                <w:vertAlign w:val="superscript"/>
              </w:rPr>
              <w:t> [2] </w:t>
            </w:r>
            <w:r w:rsidRPr="00E2453C">
              <w:rPr>
                <w:rFonts w:ascii="Simplified Arabic" w:eastAsia="Times New Roman" w:hAnsi="Simplified Arabic" w:cs="Simplified Arabic"/>
                <w:sz w:val="28"/>
                <w:szCs w:val="28"/>
                <w:rtl/>
              </w:rPr>
              <w:fldChar w:fldCharType="end"/>
            </w:r>
            <w:bookmarkEnd w:id="2"/>
            <w:r w:rsidRPr="00E2453C">
              <w:rPr>
                <w:rFonts w:ascii="Simplified Arabic" w:eastAsia="Times New Roman" w:hAnsi="Simplified Arabic" w:cs="Simplified Arabic"/>
                <w:sz w:val="28"/>
                <w:szCs w:val="28"/>
                <w:rtl/>
              </w:rPr>
              <w:t xml:space="preserve">. وبناء على ذلك فقد كان احد محددات السيناريوهات الثلاثة اللاحقة مدى تحسن الوضع في المخيمات الفلسطينية نظراً لهشاشة وضع لاجئ المخيمات بالنسبة لبقية الفئات السكانية. فعلى الرغم من أن خدمات الصحة والتعليم هي ذات نوعية مميزة إلا أن المؤشرات الاقتصادية في المخيم تدل على هشاشة الوضع، وخاصة فيما يتعلق بنسبة البطالة والتي تتجاوز 2.5% قبل الانتفاضة (مقارنة 17.2% و 16% </w:t>
            </w:r>
            <w:proofErr w:type="gramStart"/>
            <w:r w:rsidRPr="00E2453C">
              <w:rPr>
                <w:rFonts w:ascii="Simplified Arabic" w:eastAsia="Times New Roman" w:hAnsi="Simplified Arabic" w:cs="Simplified Arabic"/>
                <w:sz w:val="28"/>
                <w:szCs w:val="28"/>
                <w:rtl/>
              </w:rPr>
              <w:t>في</w:t>
            </w:r>
            <w:proofErr w:type="gramEnd"/>
            <w:r w:rsidRPr="00E2453C">
              <w:rPr>
                <w:rFonts w:ascii="Simplified Arabic" w:eastAsia="Times New Roman" w:hAnsi="Simplified Arabic" w:cs="Simplified Arabic"/>
                <w:sz w:val="28"/>
                <w:szCs w:val="28"/>
                <w:rtl/>
              </w:rPr>
              <w:t xml:space="preserve"> المناطق الحضرية والريفية بالترتيب). </w:t>
            </w:r>
            <w:proofErr w:type="gramStart"/>
            <w:r w:rsidRPr="00E2453C">
              <w:rPr>
                <w:rFonts w:ascii="Simplified Arabic" w:eastAsia="Times New Roman" w:hAnsi="Simplified Arabic" w:cs="Simplified Arabic"/>
                <w:sz w:val="28"/>
                <w:szCs w:val="28"/>
                <w:rtl/>
              </w:rPr>
              <w:t>ولا</w:t>
            </w:r>
            <w:proofErr w:type="gramEnd"/>
            <w:r w:rsidRPr="00E2453C">
              <w:rPr>
                <w:rFonts w:ascii="Simplified Arabic" w:eastAsia="Times New Roman" w:hAnsi="Simplified Arabic" w:cs="Simplified Arabic"/>
                <w:sz w:val="28"/>
                <w:szCs w:val="28"/>
                <w:rtl/>
              </w:rPr>
              <w:t xml:space="preserve"> بد أن لا ننسى أن الفقر في المخيمات هو أكثر بنيوية، فبينما يقوم الفقراء في المناطق الريفية بزراعة قطعة ارض للحصول على بعض احتياجاته الأساسية، لا يوجد في المخيمات أي قطع أراضي ملحقة. وهشاشة الوضع الاقتصادي تظهر بشكل أوضح إذا قارن مكان عمل القاطنين هنا بسكان المناطق الحضرية والريفية فالقوة العاملة في المخيم تعمل بنسبة اكبر في إدارات السلطة الوطنية الفلسطينية (حيث المعاشات المتواضعة): 27.4% مقارنة بـ19.5% و12.8% </w:t>
            </w:r>
            <w:proofErr w:type="gramStart"/>
            <w:r w:rsidRPr="00E2453C">
              <w:rPr>
                <w:rFonts w:ascii="Simplified Arabic" w:eastAsia="Times New Roman" w:hAnsi="Simplified Arabic" w:cs="Simplified Arabic"/>
                <w:sz w:val="28"/>
                <w:szCs w:val="28"/>
                <w:rtl/>
              </w:rPr>
              <w:t>في</w:t>
            </w:r>
            <w:proofErr w:type="gramEnd"/>
            <w:r w:rsidRPr="00E2453C">
              <w:rPr>
                <w:rFonts w:ascii="Simplified Arabic" w:eastAsia="Times New Roman" w:hAnsi="Simplified Arabic" w:cs="Simplified Arabic"/>
                <w:sz w:val="28"/>
                <w:szCs w:val="28"/>
                <w:rtl/>
              </w:rPr>
              <w:t xml:space="preserve"> المناطق الحضرية والريفية بالترتيب. </w:t>
            </w:r>
            <w:proofErr w:type="gramStart"/>
            <w:r w:rsidRPr="00E2453C">
              <w:rPr>
                <w:rFonts w:ascii="Simplified Arabic" w:eastAsia="Times New Roman" w:hAnsi="Simplified Arabic" w:cs="Simplified Arabic"/>
                <w:sz w:val="28"/>
                <w:szCs w:val="28"/>
                <w:rtl/>
              </w:rPr>
              <w:t>وكمؤشر</w:t>
            </w:r>
            <w:proofErr w:type="gramEnd"/>
            <w:r w:rsidRPr="00E2453C">
              <w:rPr>
                <w:rFonts w:ascii="Simplified Arabic" w:eastAsia="Times New Roman" w:hAnsi="Simplified Arabic" w:cs="Simplified Arabic"/>
                <w:sz w:val="28"/>
                <w:szCs w:val="28"/>
                <w:rtl/>
              </w:rPr>
              <w:t xml:space="preserve"> آخر فإن نسبة الذين يعملون في المؤسسات الدولية حيث </w:t>
            </w:r>
            <w:r w:rsidRPr="00E2453C">
              <w:rPr>
                <w:rFonts w:ascii="Simplified Arabic" w:eastAsia="Times New Roman" w:hAnsi="Simplified Arabic" w:cs="Simplified Arabic"/>
                <w:sz w:val="28"/>
                <w:szCs w:val="28"/>
                <w:rtl/>
              </w:rPr>
              <w:lastRenderedPageBreak/>
              <w:t xml:space="preserve">المعاشات عالية قليلة نسبياً: 16.7% من قوة العمل للمخيم </w:t>
            </w:r>
            <w:proofErr w:type="gramStart"/>
            <w:r w:rsidRPr="00E2453C">
              <w:rPr>
                <w:rFonts w:ascii="Simplified Arabic" w:eastAsia="Times New Roman" w:hAnsi="Simplified Arabic" w:cs="Simplified Arabic"/>
                <w:sz w:val="28"/>
                <w:szCs w:val="28"/>
                <w:rtl/>
              </w:rPr>
              <w:t>مقارنة</w:t>
            </w:r>
            <w:proofErr w:type="gramEnd"/>
            <w:r w:rsidRPr="00E2453C">
              <w:rPr>
                <w:rFonts w:ascii="Simplified Arabic" w:eastAsia="Times New Roman" w:hAnsi="Simplified Arabic" w:cs="Simplified Arabic"/>
                <w:sz w:val="28"/>
                <w:szCs w:val="28"/>
                <w:rtl/>
              </w:rPr>
              <w:t xml:space="preserve"> مع 15.6% و26.8% </w:t>
            </w:r>
            <w:proofErr w:type="gramStart"/>
            <w:r w:rsidRPr="00E2453C">
              <w:rPr>
                <w:rFonts w:ascii="Simplified Arabic" w:eastAsia="Times New Roman" w:hAnsi="Simplified Arabic" w:cs="Simplified Arabic"/>
                <w:sz w:val="28"/>
                <w:szCs w:val="28"/>
                <w:rtl/>
              </w:rPr>
              <w:t>في</w:t>
            </w:r>
            <w:proofErr w:type="gramEnd"/>
            <w:r w:rsidRPr="00E2453C">
              <w:rPr>
                <w:rFonts w:ascii="Simplified Arabic" w:eastAsia="Times New Roman" w:hAnsi="Simplified Arabic" w:cs="Simplified Arabic"/>
                <w:sz w:val="28"/>
                <w:szCs w:val="28"/>
                <w:rtl/>
              </w:rPr>
              <w:t xml:space="preserve"> المناطق الحضرية والريفية بالترتيب. ولكن هناك استثناء حيث أنهم يعملون بنسبة </w:t>
            </w:r>
            <w:proofErr w:type="gramStart"/>
            <w:r w:rsidRPr="00E2453C">
              <w:rPr>
                <w:rFonts w:ascii="Simplified Arabic" w:eastAsia="Times New Roman" w:hAnsi="Simplified Arabic" w:cs="Simplified Arabic"/>
                <w:sz w:val="28"/>
                <w:szCs w:val="28"/>
                <w:rtl/>
              </w:rPr>
              <w:t>اكبر</w:t>
            </w:r>
            <w:proofErr w:type="gramEnd"/>
            <w:r w:rsidRPr="00E2453C">
              <w:rPr>
                <w:rFonts w:ascii="Simplified Arabic" w:eastAsia="Times New Roman" w:hAnsi="Simplified Arabic" w:cs="Simplified Arabic"/>
                <w:sz w:val="28"/>
                <w:szCs w:val="28"/>
                <w:rtl/>
              </w:rPr>
              <w:t xml:space="preserve"> في وكالة غوث اللاجئين 5.7% من القوة العاملة مقارنة </w:t>
            </w:r>
            <w:proofErr w:type="gramStart"/>
            <w:r w:rsidRPr="00E2453C">
              <w:rPr>
                <w:rFonts w:ascii="Simplified Arabic" w:eastAsia="Times New Roman" w:hAnsi="Simplified Arabic" w:cs="Simplified Arabic"/>
                <w:sz w:val="28"/>
                <w:szCs w:val="28"/>
                <w:rtl/>
              </w:rPr>
              <w:t>مع</w:t>
            </w:r>
            <w:proofErr w:type="gramEnd"/>
            <w:r w:rsidRPr="00E2453C">
              <w:rPr>
                <w:rFonts w:ascii="Simplified Arabic" w:eastAsia="Times New Roman" w:hAnsi="Simplified Arabic" w:cs="Simplified Arabic"/>
                <w:sz w:val="28"/>
                <w:szCs w:val="28"/>
                <w:rtl/>
              </w:rPr>
              <w:t xml:space="preserve"> 1.4% و0.4% </w:t>
            </w:r>
            <w:proofErr w:type="gramStart"/>
            <w:r w:rsidRPr="00E2453C">
              <w:rPr>
                <w:rFonts w:ascii="Simplified Arabic" w:eastAsia="Times New Roman" w:hAnsi="Simplified Arabic" w:cs="Simplified Arabic"/>
                <w:sz w:val="28"/>
                <w:szCs w:val="28"/>
                <w:rtl/>
              </w:rPr>
              <w:t>في</w:t>
            </w:r>
            <w:proofErr w:type="gramEnd"/>
            <w:r w:rsidRPr="00E2453C">
              <w:rPr>
                <w:rFonts w:ascii="Simplified Arabic" w:eastAsia="Times New Roman" w:hAnsi="Simplified Arabic" w:cs="Simplified Arabic"/>
                <w:sz w:val="28"/>
                <w:szCs w:val="28"/>
                <w:rtl/>
              </w:rPr>
              <w:t xml:space="preserve"> المناطق الحضرية والريفية بالترتيب. </w:t>
            </w:r>
            <w:proofErr w:type="gramStart"/>
            <w:r w:rsidRPr="00E2453C">
              <w:rPr>
                <w:rFonts w:ascii="Simplified Arabic" w:eastAsia="Times New Roman" w:hAnsi="Simplified Arabic" w:cs="Simplified Arabic"/>
                <w:sz w:val="28"/>
                <w:szCs w:val="28"/>
                <w:rtl/>
              </w:rPr>
              <w:t>أما</w:t>
            </w:r>
            <w:proofErr w:type="gramEnd"/>
            <w:r w:rsidRPr="00E2453C">
              <w:rPr>
                <w:rFonts w:ascii="Simplified Arabic" w:eastAsia="Times New Roman" w:hAnsi="Simplified Arabic" w:cs="Simplified Arabic"/>
                <w:sz w:val="28"/>
                <w:szCs w:val="28"/>
                <w:rtl/>
              </w:rPr>
              <w:t xml:space="preserve"> في القطاع الخاص حيث المعاشات اقل مما هي عليه في المنظمات الدولية واكبر ممن معاشات السلطة فإن نسبة قاطني المخيمات اقل من الحضر (34.7% </w:t>
            </w:r>
            <w:proofErr w:type="gramStart"/>
            <w:r w:rsidRPr="00E2453C">
              <w:rPr>
                <w:rFonts w:ascii="Simplified Arabic" w:eastAsia="Times New Roman" w:hAnsi="Simplified Arabic" w:cs="Simplified Arabic"/>
                <w:sz w:val="28"/>
                <w:szCs w:val="28"/>
                <w:rtl/>
              </w:rPr>
              <w:t>من</w:t>
            </w:r>
            <w:proofErr w:type="gramEnd"/>
            <w:r w:rsidRPr="00E2453C">
              <w:rPr>
                <w:rFonts w:ascii="Simplified Arabic" w:eastAsia="Times New Roman" w:hAnsi="Simplified Arabic" w:cs="Simplified Arabic"/>
                <w:sz w:val="28"/>
                <w:szCs w:val="28"/>
                <w:rtl/>
              </w:rPr>
              <w:t xml:space="preserve"> القوة العاملة مقابل 6.6% بالترتيب) ولكنها </w:t>
            </w:r>
            <w:proofErr w:type="gramStart"/>
            <w:r w:rsidRPr="00E2453C">
              <w:rPr>
                <w:rFonts w:ascii="Simplified Arabic" w:eastAsia="Times New Roman" w:hAnsi="Simplified Arabic" w:cs="Simplified Arabic"/>
                <w:sz w:val="28"/>
                <w:szCs w:val="28"/>
                <w:rtl/>
              </w:rPr>
              <w:t>اكبر</w:t>
            </w:r>
            <w:proofErr w:type="gramEnd"/>
            <w:r w:rsidRPr="00E2453C">
              <w:rPr>
                <w:rFonts w:ascii="Simplified Arabic" w:eastAsia="Times New Roman" w:hAnsi="Simplified Arabic" w:cs="Simplified Arabic"/>
                <w:sz w:val="28"/>
                <w:szCs w:val="28"/>
                <w:rtl/>
              </w:rPr>
              <w:t xml:space="preserve"> أيضاً من المناطق الريفية (33.2%).</w:t>
            </w:r>
          </w:p>
          <w:p w:rsidR="00E2453C" w:rsidRPr="00E2453C" w:rsidRDefault="00E2453C" w:rsidP="00E2453C">
            <w:pPr>
              <w:bidi/>
              <w:spacing w:after="120" w:line="240" w:lineRule="auto"/>
              <w:jc w:val="both"/>
              <w:rPr>
                <w:rFonts w:ascii="Times New Roman" w:eastAsia="Times New Roman" w:hAnsi="Times New Roman" w:cs="Times New Roman"/>
                <w:sz w:val="24"/>
                <w:szCs w:val="24"/>
                <w:rtl/>
              </w:rPr>
            </w:pPr>
            <w:proofErr w:type="gramStart"/>
            <w:r w:rsidRPr="00E2453C">
              <w:rPr>
                <w:rFonts w:ascii="Simplified Arabic" w:eastAsia="Times New Roman" w:hAnsi="Simplified Arabic" w:cs="Simplified Arabic"/>
                <w:sz w:val="28"/>
                <w:szCs w:val="28"/>
                <w:rtl/>
              </w:rPr>
              <w:t>ويعود</w:t>
            </w:r>
            <w:proofErr w:type="gramEnd"/>
            <w:r w:rsidRPr="00E2453C">
              <w:rPr>
                <w:rFonts w:ascii="Simplified Arabic" w:eastAsia="Times New Roman" w:hAnsi="Simplified Arabic" w:cs="Simplified Arabic"/>
                <w:sz w:val="28"/>
                <w:szCs w:val="28"/>
                <w:rtl/>
              </w:rPr>
              <w:t xml:space="preserve"> عدم التوافق بين الوضع التعليمي والصحي من جهة مع الوضع الاقتصادي من جهة أخرى -أي أن قاطني المخيم يتركونه عندما يتحسن وضعهم الاقتصادي- بسبب سوء وضعهم الحضري فيغادرونه إلى المدن الكبيرة حيث فرص العمالة أوسع.</w:t>
            </w:r>
          </w:p>
          <w:p w:rsidR="00E2453C" w:rsidRPr="00E2453C" w:rsidRDefault="00E2453C" w:rsidP="00E2453C">
            <w:pPr>
              <w:bidi/>
              <w:spacing w:after="120" w:line="240" w:lineRule="auto"/>
              <w:jc w:val="both"/>
              <w:rPr>
                <w:rFonts w:ascii="Times New Roman" w:eastAsia="Times New Roman" w:hAnsi="Times New Roman" w:cs="Times New Roman"/>
                <w:sz w:val="24"/>
                <w:szCs w:val="24"/>
                <w:rtl/>
              </w:rPr>
            </w:pPr>
            <w:r w:rsidRPr="00E2453C">
              <w:rPr>
                <w:rFonts w:ascii="Simplified Arabic" w:eastAsia="Times New Roman" w:hAnsi="Simplified Arabic" w:cs="Simplified Arabic"/>
                <w:sz w:val="28"/>
                <w:szCs w:val="28"/>
                <w:rtl/>
              </w:rPr>
              <w:t>أخيرا يشعر قاطني المخيمات بالتهميش بالنسبة للمناطق المحيطة بهم وهم يرغبون في تغير وضعهم الحضري، كما يبينه البحث الميداني لـ </w:t>
            </w:r>
            <w:r w:rsidRPr="00E2453C">
              <w:rPr>
                <w:rFonts w:ascii="Times New Roman" w:eastAsia="Times New Roman" w:hAnsi="Times New Roman" w:cs="Times New Roman"/>
                <w:sz w:val="28"/>
                <w:szCs w:val="28"/>
              </w:rPr>
              <w:t>PSR</w:t>
            </w:r>
            <w:r w:rsidRPr="00E2453C">
              <w:rPr>
                <w:rFonts w:ascii="Simplified Arabic" w:eastAsia="Times New Roman" w:hAnsi="Simplified Arabic" w:cs="Simplified Arabic"/>
                <w:sz w:val="28"/>
                <w:szCs w:val="28"/>
                <w:rtl/>
              </w:rPr>
              <w:t> حيث أن نصف اللاجئين لا يمانعون إسكانهم خارج المخيمات ويفضلون جعل مخيماتهم مناطق حضرية عادية (87% يفضل أن ينتخب في البلديات عندما يكون المخيم داخل المدينة وثلاثة أرباع يفضلوا ذلك عندما يكون المخيم خارجها) بينما أعلن النصف انه يفضل توسيع مخيمهم داخل حدود المدينة.</w:t>
            </w:r>
          </w:p>
          <w:p w:rsidR="00E2453C" w:rsidRPr="00E2453C" w:rsidRDefault="00E2453C" w:rsidP="00E2453C">
            <w:pPr>
              <w:spacing w:after="0" w:line="240" w:lineRule="auto"/>
              <w:rPr>
                <w:rFonts w:ascii="Times New Roman" w:eastAsia="Times New Roman" w:hAnsi="Times New Roman" w:cs="Times New Roman"/>
                <w:sz w:val="24"/>
                <w:szCs w:val="24"/>
                <w:rtl/>
              </w:rPr>
            </w:pPr>
            <w:r w:rsidRPr="00E2453C">
              <w:rPr>
                <w:rFonts w:ascii="Times New Roman" w:eastAsia="Times New Roman" w:hAnsi="Times New Roman" w:cs="Times New Roman"/>
                <w:sz w:val="24"/>
                <w:szCs w:val="24"/>
              </w:rPr>
              <w:br w:type="textWrapping" w:clear="all"/>
            </w:r>
          </w:p>
          <w:p w:rsidR="00E2453C" w:rsidRPr="00E2453C" w:rsidRDefault="00E2453C" w:rsidP="00E2453C">
            <w:pPr>
              <w:spacing w:after="0" w:line="240" w:lineRule="auto"/>
              <w:rPr>
                <w:rFonts w:ascii="Times New Roman" w:eastAsia="Times New Roman" w:hAnsi="Times New Roman" w:cs="Times New Roman"/>
                <w:sz w:val="24"/>
                <w:szCs w:val="24"/>
              </w:rPr>
            </w:pPr>
            <w:r w:rsidRPr="00E2453C">
              <w:rPr>
                <w:rFonts w:ascii="Times New Roman" w:eastAsia="Times New Roman" w:hAnsi="Times New Roman" w:cs="Times New Roman"/>
                <w:sz w:val="24"/>
                <w:szCs w:val="24"/>
              </w:rPr>
              <w:pict>
                <v:rect id="_x0000_i1025" style="width:154.45pt;height:.75pt" o:hrpct="330" o:hralign="right" o:hrstd="t" o:hr="t" fillcolor="#a0a0a0" stroked="f"/>
              </w:pict>
            </w:r>
          </w:p>
          <w:bookmarkStart w:id="3" w:name="_ftn1"/>
          <w:p w:rsidR="00E2453C" w:rsidRPr="00E2453C" w:rsidRDefault="00E2453C" w:rsidP="00E2453C">
            <w:pPr>
              <w:bidi/>
              <w:spacing w:after="0" w:line="240" w:lineRule="auto"/>
              <w:jc w:val="both"/>
              <w:rPr>
                <w:rFonts w:ascii="Times New Roman" w:eastAsia="Times New Roman" w:hAnsi="Times New Roman" w:cs="Times New Roman"/>
                <w:sz w:val="20"/>
                <w:szCs w:val="20"/>
              </w:rPr>
            </w:pPr>
            <w:r w:rsidRPr="00E2453C">
              <w:rPr>
                <w:rFonts w:ascii="Times New Roman" w:eastAsia="Times New Roman" w:hAnsi="Times New Roman" w:cs="Times New Roman"/>
                <w:sz w:val="20"/>
                <w:szCs w:val="20"/>
                <w:rtl/>
              </w:rPr>
              <w:fldChar w:fldCharType="begin"/>
            </w:r>
            <w:r w:rsidRPr="00E2453C">
              <w:rPr>
                <w:rFonts w:ascii="Times New Roman" w:eastAsia="Times New Roman" w:hAnsi="Times New Roman" w:cs="Times New Roman"/>
                <w:sz w:val="20"/>
                <w:szCs w:val="20"/>
                <w:rtl/>
              </w:rPr>
              <w:instrText xml:space="preserve"> </w:instrText>
            </w:r>
            <w:r w:rsidRPr="00E2453C">
              <w:rPr>
                <w:rFonts w:ascii="Times New Roman" w:eastAsia="Times New Roman" w:hAnsi="Times New Roman" w:cs="Times New Roman"/>
                <w:sz w:val="20"/>
                <w:szCs w:val="20"/>
              </w:rPr>
              <w:instrText>HYPERLINK "http://146.185.164.77/passia.org/meetings/2003/Nov-13-Text-arabic.htm" \l "_ftnref1" \o</w:instrText>
            </w:r>
            <w:r w:rsidRPr="00E2453C">
              <w:rPr>
                <w:rFonts w:ascii="Times New Roman" w:eastAsia="Times New Roman" w:hAnsi="Times New Roman" w:cs="Times New Roman"/>
                <w:sz w:val="20"/>
                <w:szCs w:val="20"/>
                <w:rtl/>
              </w:rPr>
              <w:instrText xml:space="preserve"> "" </w:instrText>
            </w:r>
            <w:r w:rsidRPr="00E2453C">
              <w:rPr>
                <w:rFonts w:ascii="Times New Roman" w:eastAsia="Times New Roman" w:hAnsi="Times New Roman" w:cs="Times New Roman"/>
                <w:sz w:val="20"/>
                <w:szCs w:val="20"/>
                <w:rtl/>
              </w:rPr>
              <w:fldChar w:fldCharType="separate"/>
            </w:r>
            <w:r w:rsidRPr="00E2453C">
              <w:rPr>
                <w:rFonts w:ascii="Times New Roman" w:eastAsia="Times New Roman" w:hAnsi="Times New Roman" w:cs="Times New Roman"/>
                <w:color w:val="800080"/>
                <w:sz w:val="20"/>
                <w:szCs w:val="20"/>
                <w:u w:val="single"/>
                <w:vertAlign w:val="superscript"/>
              </w:rPr>
              <w:t>[1] </w:t>
            </w:r>
            <w:r w:rsidRPr="00E2453C">
              <w:rPr>
                <w:rFonts w:ascii="Times New Roman" w:eastAsia="Times New Roman" w:hAnsi="Times New Roman" w:cs="Times New Roman"/>
                <w:sz w:val="20"/>
                <w:szCs w:val="20"/>
                <w:rtl/>
              </w:rPr>
              <w:fldChar w:fldCharType="end"/>
            </w:r>
            <w:bookmarkEnd w:id="3"/>
            <w:r w:rsidRPr="00E2453C">
              <w:rPr>
                <w:rFonts w:ascii="Times New Roman" w:eastAsia="Times New Roman" w:hAnsi="Times New Roman" w:cs="Times New Roman" w:hint="cs"/>
                <w:sz w:val="20"/>
                <w:szCs w:val="20"/>
                <w:rtl/>
              </w:rPr>
              <w:t xml:space="preserve"> ساري حنفي باحث في علم الاجتماع متخصص بقضايا الشتات واللجوء والهجرة. وهو مدير المركز الفلسطيني للاجئين والشتات-شمل. </w:t>
            </w:r>
            <w:proofErr w:type="gramStart"/>
            <w:r w:rsidRPr="00E2453C">
              <w:rPr>
                <w:rFonts w:ascii="Times New Roman" w:eastAsia="Times New Roman" w:hAnsi="Times New Roman" w:cs="Times New Roman" w:hint="cs"/>
                <w:sz w:val="20"/>
                <w:szCs w:val="20"/>
                <w:rtl/>
              </w:rPr>
              <w:t>هذه</w:t>
            </w:r>
            <w:proofErr w:type="gramEnd"/>
            <w:r w:rsidRPr="00E2453C">
              <w:rPr>
                <w:rFonts w:ascii="Times New Roman" w:eastAsia="Times New Roman" w:hAnsi="Times New Roman" w:cs="Times New Roman" w:hint="cs"/>
                <w:sz w:val="20"/>
                <w:szCs w:val="20"/>
                <w:rtl/>
              </w:rPr>
              <w:t xml:space="preserve"> الورقة لا تعبر بالضرورة عن رأي المركز.</w:t>
            </w:r>
          </w:p>
          <w:bookmarkStart w:id="4" w:name="_ftn2"/>
          <w:p w:rsidR="00E2453C" w:rsidRPr="00E2453C" w:rsidRDefault="00E2453C" w:rsidP="00E2453C">
            <w:pPr>
              <w:bidi/>
              <w:spacing w:after="0" w:line="240" w:lineRule="auto"/>
              <w:jc w:val="both"/>
              <w:rPr>
                <w:rFonts w:ascii="Times New Roman" w:eastAsia="Times New Roman" w:hAnsi="Times New Roman" w:cs="Times New Roman"/>
                <w:sz w:val="20"/>
                <w:szCs w:val="20"/>
              </w:rPr>
            </w:pPr>
            <w:r w:rsidRPr="00E2453C">
              <w:rPr>
                <w:rFonts w:ascii="Times New Roman" w:eastAsia="Times New Roman" w:hAnsi="Times New Roman" w:cs="Times New Roman"/>
                <w:sz w:val="20"/>
                <w:szCs w:val="20"/>
                <w:rtl/>
              </w:rPr>
              <w:fldChar w:fldCharType="begin"/>
            </w:r>
            <w:r w:rsidRPr="00E2453C">
              <w:rPr>
                <w:rFonts w:ascii="Times New Roman" w:eastAsia="Times New Roman" w:hAnsi="Times New Roman" w:cs="Times New Roman"/>
                <w:sz w:val="20"/>
                <w:szCs w:val="20"/>
                <w:rtl/>
              </w:rPr>
              <w:instrText xml:space="preserve"> </w:instrText>
            </w:r>
            <w:r w:rsidRPr="00E2453C">
              <w:rPr>
                <w:rFonts w:ascii="Times New Roman" w:eastAsia="Times New Roman" w:hAnsi="Times New Roman" w:cs="Times New Roman"/>
                <w:sz w:val="20"/>
                <w:szCs w:val="20"/>
              </w:rPr>
              <w:instrText>HYPERLINK "http://146.185.164.77/passia.org/meetings/2003/Nov-13-Text-arabic.htm" \l "_ftnref2" \o</w:instrText>
            </w:r>
            <w:r w:rsidRPr="00E2453C">
              <w:rPr>
                <w:rFonts w:ascii="Times New Roman" w:eastAsia="Times New Roman" w:hAnsi="Times New Roman" w:cs="Times New Roman"/>
                <w:sz w:val="20"/>
                <w:szCs w:val="20"/>
                <w:rtl/>
              </w:rPr>
              <w:instrText xml:space="preserve"> "" </w:instrText>
            </w:r>
            <w:r w:rsidRPr="00E2453C">
              <w:rPr>
                <w:rFonts w:ascii="Times New Roman" w:eastAsia="Times New Roman" w:hAnsi="Times New Roman" w:cs="Times New Roman"/>
                <w:sz w:val="20"/>
                <w:szCs w:val="20"/>
                <w:rtl/>
              </w:rPr>
              <w:fldChar w:fldCharType="separate"/>
            </w:r>
            <w:r w:rsidRPr="00E2453C">
              <w:rPr>
                <w:rFonts w:ascii="Times New Roman" w:eastAsia="Times New Roman" w:hAnsi="Times New Roman" w:cs="Times New Roman"/>
                <w:color w:val="800080"/>
                <w:sz w:val="20"/>
                <w:szCs w:val="20"/>
                <w:u w:val="single"/>
                <w:vertAlign w:val="superscript"/>
              </w:rPr>
              <w:t>[2] </w:t>
            </w:r>
            <w:r w:rsidRPr="00E2453C">
              <w:rPr>
                <w:rFonts w:ascii="Times New Roman" w:eastAsia="Times New Roman" w:hAnsi="Times New Roman" w:cs="Times New Roman"/>
                <w:sz w:val="20"/>
                <w:szCs w:val="20"/>
                <w:rtl/>
              </w:rPr>
              <w:fldChar w:fldCharType="end"/>
            </w:r>
            <w:bookmarkEnd w:id="4"/>
            <w:r w:rsidRPr="00E2453C">
              <w:rPr>
                <w:rFonts w:ascii="Times New Roman" w:eastAsia="Times New Roman" w:hAnsi="Times New Roman" w:cs="Times New Roman"/>
                <w:sz w:val="20"/>
                <w:szCs w:val="20"/>
                <w:rtl/>
              </w:rPr>
              <w:t> </w:t>
            </w:r>
            <w:r w:rsidRPr="00E2453C">
              <w:rPr>
                <w:rFonts w:ascii="Times New Roman" w:eastAsia="Times New Roman" w:hAnsi="Times New Roman" w:cs="Times New Roman"/>
                <w:sz w:val="20"/>
                <w:szCs w:val="20"/>
                <w:vertAlign w:val="superscript"/>
              </w:rPr>
              <w:t> [2]</w:t>
            </w:r>
            <w:proofErr w:type="gramStart"/>
            <w:r w:rsidRPr="00E2453C">
              <w:rPr>
                <w:rFonts w:ascii="Times New Roman" w:eastAsia="Times New Roman" w:hAnsi="Times New Roman" w:cs="Times New Roman"/>
                <w:sz w:val="20"/>
                <w:szCs w:val="20"/>
                <w:vertAlign w:val="superscript"/>
              </w:rPr>
              <w:t> </w:t>
            </w:r>
            <w:r w:rsidRPr="00E2453C">
              <w:rPr>
                <w:rFonts w:ascii="Times New Roman" w:eastAsia="Times New Roman" w:hAnsi="Times New Roman" w:cs="Times New Roman" w:hint="cs"/>
                <w:sz w:val="20"/>
                <w:szCs w:val="20"/>
                <w:rtl/>
              </w:rPr>
              <w:t> كل</w:t>
            </w:r>
            <w:proofErr w:type="gramEnd"/>
            <w:r w:rsidRPr="00E2453C">
              <w:rPr>
                <w:rFonts w:ascii="Times New Roman" w:eastAsia="Times New Roman" w:hAnsi="Times New Roman" w:cs="Times New Roman" w:hint="cs"/>
                <w:sz w:val="20"/>
                <w:szCs w:val="20"/>
                <w:rtl/>
              </w:rPr>
              <w:t xml:space="preserve"> هذه الإحصائيات هي مستقاة من التعداد السكاني لعام 1997. (الريماوي والبخاري، 2002) وعلى الرغم انه لدينا إحصائيات أحدث ولكن ارتأينا أن نحيد تأثير الانتفاضة لكي نستطع أن نستشرق المستقبل.</w:t>
            </w:r>
          </w:p>
        </w:tc>
      </w:tr>
      <w:tr w:rsidR="00E2453C" w:rsidRPr="00E2453C" w:rsidTr="00E2453C">
        <w:trPr>
          <w:tblCellSpacing w:w="0" w:type="dxa"/>
        </w:trPr>
        <w:tc>
          <w:tcPr>
            <w:tcW w:w="0" w:type="auto"/>
            <w:vAlign w:val="center"/>
            <w:hideMark/>
          </w:tcPr>
          <w:p w:rsidR="00E2453C" w:rsidRPr="00E2453C" w:rsidRDefault="00E2453C" w:rsidP="00E2453C">
            <w:pPr>
              <w:spacing w:after="0" w:line="240" w:lineRule="auto"/>
              <w:rPr>
                <w:rFonts w:ascii="Times New Roman" w:eastAsia="Times New Roman" w:hAnsi="Times New Roman" w:cs="Times New Roman"/>
                <w:sz w:val="24"/>
                <w:szCs w:val="24"/>
              </w:rPr>
            </w:pPr>
            <w:r w:rsidRPr="00E2453C">
              <w:rPr>
                <w:rFonts w:ascii="Times New Roman" w:eastAsia="Times New Roman" w:hAnsi="Times New Roman" w:cs="Times New Roman"/>
                <w:sz w:val="24"/>
                <w:szCs w:val="24"/>
              </w:rPr>
              <w:lastRenderedPageBreak/>
              <w:t> </w:t>
            </w:r>
          </w:p>
        </w:tc>
        <w:tc>
          <w:tcPr>
            <w:tcW w:w="0" w:type="auto"/>
            <w:vAlign w:val="center"/>
            <w:hideMark/>
          </w:tcPr>
          <w:p w:rsidR="00E2453C" w:rsidRPr="00E2453C" w:rsidRDefault="00E2453C" w:rsidP="00E2453C">
            <w:pPr>
              <w:spacing w:after="0" w:line="240" w:lineRule="auto"/>
              <w:rPr>
                <w:rFonts w:ascii="Times New Roman" w:eastAsia="Times New Roman" w:hAnsi="Times New Roman" w:cs="Times New Roman"/>
                <w:sz w:val="24"/>
                <w:szCs w:val="24"/>
              </w:rPr>
            </w:pPr>
          </w:p>
        </w:tc>
      </w:tr>
    </w:tbl>
    <w:p w:rsidR="00785BA7" w:rsidRDefault="00785BA7">
      <w:bookmarkStart w:id="5" w:name="_GoBack"/>
      <w:bookmarkEnd w:id="5"/>
    </w:p>
    <w:sectPr w:rsidR="0078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3C"/>
    <w:rsid w:val="00785BA7"/>
    <w:rsid w:val="00E24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5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E2453C"/>
    <w:rPr>
      <w:rFonts w:ascii="Times New Roman" w:eastAsia="Times New Roman" w:hAnsi="Times New Roman" w:cs="Times New Roman"/>
      <w:b/>
      <w:bCs/>
      <w:sz w:val="36"/>
      <w:szCs w:val="36"/>
    </w:rPr>
  </w:style>
  <w:style w:type="character" w:styleId="a3">
    <w:name w:val="footnote reference"/>
    <w:basedOn w:val="a0"/>
    <w:uiPriority w:val="99"/>
    <w:semiHidden/>
    <w:unhideWhenUsed/>
    <w:rsid w:val="00E2453C"/>
  </w:style>
  <w:style w:type="paragraph" w:styleId="a4">
    <w:name w:val="Body Text"/>
    <w:basedOn w:val="a"/>
    <w:link w:val="a5"/>
    <w:uiPriority w:val="99"/>
    <w:semiHidden/>
    <w:unhideWhenUsed/>
    <w:rsid w:val="00E24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גוף טקסט תו"/>
    <w:basedOn w:val="a0"/>
    <w:link w:val="a4"/>
    <w:uiPriority w:val="99"/>
    <w:semiHidden/>
    <w:rsid w:val="00E2453C"/>
    <w:rPr>
      <w:rFonts w:ascii="Times New Roman" w:eastAsia="Times New Roman" w:hAnsi="Times New Roman" w:cs="Times New Roman"/>
      <w:sz w:val="24"/>
      <w:szCs w:val="24"/>
    </w:rPr>
  </w:style>
  <w:style w:type="paragraph" w:styleId="a6">
    <w:name w:val="footnote text"/>
    <w:basedOn w:val="a"/>
    <w:link w:val="a7"/>
    <w:uiPriority w:val="99"/>
    <w:unhideWhenUsed/>
    <w:rsid w:val="00E24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טקסט הערת שוליים תו"/>
    <w:basedOn w:val="a0"/>
    <w:link w:val="a6"/>
    <w:uiPriority w:val="99"/>
    <w:rsid w:val="00E245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5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E2453C"/>
    <w:rPr>
      <w:rFonts w:ascii="Times New Roman" w:eastAsia="Times New Roman" w:hAnsi="Times New Roman" w:cs="Times New Roman"/>
      <w:b/>
      <w:bCs/>
      <w:sz w:val="36"/>
      <w:szCs w:val="36"/>
    </w:rPr>
  </w:style>
  <w:style w:type="character" w:styleId="a3">
    <w:name w:val="footnote reference"/>
    <w:basedOn w:val="a0"/>
    <w:uiPriority w:val="99"/>
    <w:semiHidden/>
    <w:unhideWhenUsed/>
    <w:rsid w:val="00E2453C"/>
  </w:style>
  <w:style w:type="paragraph" w:styleId="a4">
    <w:name w:val="Body Text"/>
    <w:basedOn w:val="a"/>
    <w:link w:val="a5"/>
    <w:uiPriority w:val="99"/>
    <w:semiHidden/>
    <w:unhideWhenUsed/>
    <w:rsid w:val="00E24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גוף טקסט תו"/>
    <w:basedOn w:val="a0"/>
    <w:link w:val="a4"/>
    <w:uiPriority w:val="99"/>
    <w:semiHidden/>
    <w:rsid w:val="00E2453C"/>
    <w:rPr>
      <w:rFonts w:ascii="Times New Roman" w:eastAsia="Times New Roman" w:hAnsi="Times New Roman" w:cs="Times New Roman"/>
      <w:sz w:val="24"/>
      <w:szCs w:val="24"/>
    </w:rPr>
  </w:style>
  <w:style w:type="paragraph" w:styleId="a6">
    <w:name w:val="footnote text"/>
    <w:basedOn w:val="a"/>
    <w:link w:val="a7"/>
    <w:uiPriority w:val="99"/>
    <w:unhideWhenUsed/>
    <w:rsid w:val="00E24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טקסט הערת שוליים תו"/>
    <w:basedOn w:val="a0"/>
    <w:link w:val="a6"/>
    <w:uiPriority w:val="99"/>
    <w:rsid w:val="00E245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70187">
      <w:bodyDiv w:val="1"/>
      <w:marLeft w:val="0"/>
      <w:marRight w:val="0"/>
      <w:marTop w:val="0"/>
      <w:marBottom w:val="0"/>
      <w:divBdr>
        <w:top w:val="none" w:sz="0" w:space="0" w:color="auto"/>
        <w:left w:val="none" w:sz="0" w:space="0" w:color="auto"/>
        <w:bottom w:val="none" w:sz="0" w:space="0" w:color="auto"/>
        <w:right w:val="none" w:sz="0" w:space="0" w:color="auto"/>
      </w:divBdr>
      <w:divsChild>
        <w:div w:id="331491983">
          <w:marLeft w:val="0"/>
          <w:marRight w:val="0"/>
          <w:marTop w:val="0"/>
          <w:marBottom w:val="0"/>
          <w:divBdr>
            <w:top w:val="none" w:sz="0" w:space="0" w:color="auto"/>
            <w:left w:val="none" w:sz="0" w:space="0" w:color="auto"/>
            <w:bottom w:val="none" w:sz="0" w:space="0" w:color="auto"/>
            <w:right w:val="none" w:sz="0" w:space="0" w:color="auto"/>
          </w:divBdr>
          <w:divsChild>
            <w:div w:id="425538978">
              <w:marLeft w:val="0"/>
              <w:marRight w:val="0"/>
              <w:marTop w:val="0"/>
              <w:marBottom w:val="0"/>
              <w:divBdr>
                <w:top w:val="none" w:sz="0" w:space="0" w:color="auto"/>
                <w:left w:val="none" w:sz="0" w:space="0" w:color="auto"/>
                <w:bottom w:val="none" w:sz="0" w:space="0" w:color="auto"/>
                <w:right w:val="none" w:sz="0" w:space="0" w:color="auto"/>
              </w:divBdr>
            </w:div>
            <w:div w:id="7529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2017-09-21T14:12:00Z</dcterms:created>
  <dcterms:modified xsi:type="dcterms:W3CDTF">2017-09-21T14:12:00Z</dcterms:modified>
</cp:coreProperties>
</file>