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Verdana" w:eastAsia="Times New Roman" w:hAnsi="Verdana" w:cs="Times New Roman"/>
          <w:b/>
          <w:bCs/>
          <w:i/>
          <w:iCs/>
          <w:color w:val="000000"/>
          <w:sz w:val="27"/>
          <w:szCs w:val="27"/>
          <w:shd w:val="clear" w:color="auto" w:fill="FFFFFF"/>
        </w:rPr>
        <w:t>Security Sector Reform (SSR) in Palestine:</w:t>
      </w:r>
      <w:r w:rsidRPr="00235B07">
        <w:rPr>
          <w:rFonts w:ascii="Times New Roman" w:eastAsia="Times New Roman" w:hAnsi="Times New Roman" w:cs="Times New Roman"/>
          <w:color w:val="000000"/>
          <w:sz w:val="27"/>
          <w:szCs w:val="27"/>
          <w:shd w:val="clear" w:color="auto" w:fill="FFFFFF"/>
        </w:rPr>
        <w:t> </w:t>
      </w:r>
      <w:r w:rsidRPr="00235B07">
        <w:rPr>
          <w:rFonts w:ascii="Times New Roman" w:eastAsia="Times New Roman" w:hAnsi="Times New Roman" w:cs="Times New Roman"/>
          <w:color w:val="000000"/>
          <w:sz w:val="27"/>
          <w:szCs w:val="27"/>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4"/>
        <w:gridCol w:w="468"/>
        <w:gridCol w:w="8518"/>
      </w:tblGrid>
      <w:tr w:rsidR="00235B07" w:rsidRPr="00235B07" w:rsidTr="00235B07">
        <w:trPr>
          <w:tblCellSpacing w:w="0" w:type="dxa"/>
        </w:trPr>
        <w:tc>
          <w:tcPr>
            <w:tcW w:w="0" w:type="auto"/>
            <w:gridSpan w:val="3"/>
            <w:shd w:val="clear" w:color="auto" w:fill="FFFFFF"/>
            <w:vAlign w:val="center"/>
            <w:hideMark/>
          </w:tcPr>
          <w:p w:rsidR="00235B07" w:rsidRPr="00235B07" w:rsidRDefault="00235B07" w:rsidP="00235B07">
            <w:pPr>
              <w:spacing w:before="100" w:beforeAutospacing="1" w:after="240" w:line="285" w:lineRule="atLeast"/>
              <w:rPr>
                <w:rFonts w:ascii="Verdana" w:eastAsia="Times New Roman" w:hAnsi="Verdana" w:cs="Times New Roman"/>
                <w:sz w:val="20"/>
                <w:szCs w:val="20"/>
              </w:rPr>
            </w:pPr>
            <w:r w:rsidRPr="00235B07">
              <w:rPr>
                <w:rFonts w:ascii="Verdana" w:eastAsia="Times New Roman" w:hAnsi="Verdana" w:cs="Times New Roman"/>
                <w:b/>
                <w:bCs/>
                <w:sz w:val="24"/>
                <w:szCs w:val="24"/>
                <w:u w:val="single"/>
              </w:rPr>
              <w:t>The concept of Security Sector Reform (SSR) </w:t>
            </w:r>
          </w:p>
        </w:tc>
      </w:tr>
      <w:tr w:rsidR="00235B07" w:rsidRPr="00235B07" w:rsidTr="00235B07">
        <w:trPr>
          <w:tblCellSpacing w:w="0" w:type="dxa"/>
        </w:trPr>
        <w:tc>
          <w:tcPr>
            <w:tcW w:w="200" w:type="pct"/>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250" w:type="pct"/>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075" cy="200025"/>
                  <wp:effectExtent l="0" t="0" r="9525" b="9525"/>
                  <wp:docPr id="16" name="תמונה 16" descr="http://146.185.164.77/passia.org/images/new/arrow-sliver2-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46.185.164.77/passia.org/images/new/arrow-sliver2-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Verdana" w:eastAsia="Times New Roman" w:hAnsi="Verdana" w:cs="Times New Roman"/>
                <w:b/>
                <w:bCs/>
                <w:sz w:val="20"/>
                <w:szCs w:val="20"/>
              </w:rPr>
              <w:t>What does SSR mean?</w:t>
            </w:r>
          </w:p>
        </w:tc>
      </w:tr>
      <w:tr w:rsidR="00235B07" w:rsidRPr="00235B07" w:rsidTr="00235B07">
        <w:trPr>
          <w:tblCellSpacing w:w="0" w:type="dxa"/>
        </w:trPr>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r>
      <w:tr w:rsidR="00235B07" w:rsidRPr="00235B07" w:rsidTr="00235B07">
        <w:trPr>
          <w:tblCellSpacing w:w="0" w:type="dxa"/>
        </w:trPr>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075" cy="200025"/>
                  <wp:effectExtent l="0" t="0" r="9525" b="9525"/>
                  <wp:docPr id="15" name="תמונה 15" descr="http://146.185.164.77/passia.org/images/new/arrow-sliver2-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46.185.164.77/passia.org/images/new/arrow-sliver2-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0" w:type="auto"/>
            <w:shd w:val="clear" w:color="auto" w:fill="FFFFFF"/>
            <w:hideMark/>
          </w:tcPr>
          <w:p w:rsidR="00235B07" w:rsidRPr="00235B07" w:rsidRDefault="00235B07" w:rsidP="00235B07">
            <w:pPr>
              <w:spacing w:before="100" w:beforeAutospacing="1" w:after="100" w:afterAutospacing="1"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The transformation of security institutions so that they play an effective, legitimate and democratically accountable role in providing external and internal security for their citizens.</w:t>
            </w:r>
          </w:p>
          <w:p w:rsidR="00235B07" w:rsidRPr="00235B07" w:rsidRDefault="00235B07" w:rsidP="00235B07">
            <w:pPr>
              <w:numPr>
                <w:ilvl w:val="0"/>
                <w:numId w:val="1"/>
              </w:numPr>
              <w:spacing w:before="100" w:beforeAutospacing="1" w:after="100" w:afterAutospacing="1" w:line="285" w:lineRule="atLeast"/>
              <w:rPr>
                <w:rFonts w:ascii="Verdana" w:eastAsia="Times New Roman" w:hAnsi="Verdana" w:cs="Times New Roman"/>
                <w:sz w:val="20"/>
                <w:szCs w:val="20"/>
              </w:rPr>
            </w:pPr>
            <w:r w:rsidRPr="00235B07">
              <w:rPr>
                <w:rFonts w:ascii="Verdana" w:eastAsia="Times New Roman" w:hAnsi="Verdana" w:cs="Times New Roman"/>
                <w:sz w:val="20"/>
                <w:szCs w:val="20"/>
                <w:u w:val="single"/>
              </w:rPr>
              <w:t>Security Sector</w:t>
            </w:r>
            <w:r w:rsidRPr="00235B07">
              <w:rPr>
                <w:rFonts w:ascii="Verdana" w:eastAsia="Times New Roman" w:hAnsi="Verdana" w:cs="Times New Roman"/>
                <w:sz w:val="20"/>
                <w:szCs w:val="20"/>
              </w:rPr>
              <w:t> : All organisations which have the authority to use or order the use and threat of force to protect the state and its citizens as well as the civil structures that are responsible for their management and oversight</w:t>
            </w:r>
          </w:p>
          <w:p w:rsidR="00235B07" w:rsidRPr="00235B07" w:rsidRDefault="00235B07" w:rsidP="00235B07">
            <w:pPr>
              <w:numPr>
                <w:ilvl w:val="0"/>
                <w:numId w:val="1"/>
              </w:numPr>
              <w:spacing w:before="100" w:beforeAutospacing="1" w:after="100" w:afterAutospacing="1"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Three pillars: </w:t>
            </w:r>
          </w:p>
          <w:tbl>
            <w:tblPr>
              <w:tblW w:w="4600" w:type="pct"/>
              <w:tblCellSpacing w:w="0" w:type="dxa"/>
              <w:tblInd w:w="720" w:type="dxa"/>
              <w:tblCellMar>
                <w:left w:w="0" w:type="dxa"/>
                <w:right w:w="0" w:type="dxa"/>
              </w:tblCellMar>
              <w:tblLook w:val="04A0" w:firstRow="1" w:lastRow="0" w:firstColumn="1" w:lastColumn="0" w:noHBand="0" w:noVBand="1"/>
            </w:tblPr>
            <w:tblGrid>
              <w:gridCol w:w="470"/>
              <w:gridCol w:w="7367"/>
            </w:tblGrid>
            <w:tr w:rsidR="00235B07" w:rsidRPr="00235B07" w:rsidTr="00235B07">
              <w:trPr>
                <w:tblCellSpacing w:w="0" w:type="dxa"/>
              </w:trPr>
              <w:tc>
                <w:tcPr>
                  <w:tcW w:w="300" w:type="pct"/>
                  <w:hideMark/>
                </w:tcPr>
                <w:p w:rsidR="00235B07" w:rsidRPr="00235B07" w:rsidRDefault="00235B07" w:rsidP="00235B07">
                  <w:pPr>
                    <w:spacing w:after="0" w:line="285" w:lineRule="atLeast"/>
                    <w:jc w:val="center"/>
                    <w:rPr>
                      <w:rFonts w:ascii="Verdana" w:eastAsia="Times New Roman" w:hAnsi="Verdana" w:cs="Times New Roman"/>
                      <w:sz w:val="20"/>
                      <w:szCs w:val="20"/>
                    </w:rPr>
                  </w:pPr>
                  <w:r w:rsidRPr="00235B07">
                    <w:rPr>
                      <w:rFonts w:ascii="Verdana" w:eastAsia="Times New Roman" w:hAnsi="Verdana" w:cs="Times New Roman"/>
                      <w:sz w:val="20"/>
                      <w:szCs w:val="20"/>
                    </w:rPr>
                    <w:t>•</w:t>
                  </w:r>
                </w:p>
              </w:tc>
              <w:tc>
                <w:tcPr>
                  <w:tcW w:w="4700" w:type="pct"/>
                  <w:hideMark/>
                </w:tcPr>
                <w:p w:rsidR="00235B07" w:rsidRPr="00235B07" w:rsidRDefault="00235B07" w:rsidP="00235B07">
                  <w:pPr>
                    <w:spacing w:after="0"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Groups with the mandate to wield instruments of violence, such as military, paramilitary, and police.</w:t>
                  </w:r>
                </w:p>
              </w:tc>
            </w:tr>
            <w:tr w:rsidR="00235B07" w:rsidRPr="00235B07" w:rsidTr="00235B07">
              <w:trPr>
                <w:tblCellSpacing w:w="0" w:type="dxa"/>
              </w:trPr>
              <w:tc>
                <w:tcPr>
                  <w:tcW w:w="0" w:type="auto"/>
                  <w:hideMark/>
                </w:tcPr>
                <w:p w:rsidR="00235B07" w:rsidRPr="00235B07" w:rsidRDefault="00235B07" w:rsidP="00235B07">
                  <w:pPr>
                    <w:spacing w:after="0" w:line="285" w:lineRule="atLeast"/>
                    <w:jc w:val="center"/>
                    <w:rPr>
                      <w:rFonts w:ascii="Verdana" w:eastAsia="Times New Roman" w:hAnsi="Verdana" w:cs="Times New Roman"/>
                      <w:sz w:val="20"/>
                      <w:szCs w:val="20"/>
                    </w:rPr>
                  </w:pPr>
                  <w:r w:rsidRPr="00235B07">
                    <w:rPr>
                      <w:rFonts w:ascii="Verdana" w:eastAsia="Times New Roman" w:hAnsi="Verdana" w:cs="Times New Roman"/>
                      <w:sz w:val="20"/>
                      <w:szCs w:val="20"/>
                    </w:rPr>
                    <w:t>•</w:t>
                  </w:r>
                </w:p>
              </w:tc>
              <w:tc>
                <w:tcPr>
                  <w:tcW w:w="0" w:type="auto"/>
                  <w:hideMark/>
                </w:tcPr>
                <w:p w:rsidR="00235B07" w:rsidRPr="00235B07" w:rsidRDefault="00235B07" w:rsidP="00235B07">
                  <w:pPr>
                    <w:spacing w:after="0"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Institutions with the role of managing and monitoring the security sector, such as civil ministries, the parliament, and NGOs.</w:t>
                  </w:r>
                </w:p>
              </w:tc>
            </w:tr>
            <w:tr w:rsidR="00235B07" w:rsidRPr="00235B07" w:rsidTr="00235B07">
              <w:trPr>
                <w:tblCellSpacing w:w="0" w:type="dxa"/>
              </w:trPr>
              <w:tc>
                <w:tcPr>
                  <w:tcW w:w="0" w:type="auto"/>
                  <w:hideMark/>
                </w:tcPr>
                <w:p w:rsidR="00235B07" w:rsidRPr="00235B07" w:rsidRDefault="00235B07" w:rsidP="00235B07">
                  <w:pPr>
                    <w:spacing w:after="0" w:line="285" w:lineRule="atLeast"/>
                    <w:jc w:val="center"/>
                    <w:rPr>
                      <w:rFonts w:ascii="Verdana" w:eastAsia="Times New Roman" w:hAnsi="Verdana" w:cs="Times New Roman"/>
                      <w:sz w:val="20"/>
                      <w:szCs w:val="20"/>
                    </w:rPr>
                  </w:pPr>
                  <w:r w:rsidRPr="00235B07">
                    <w:rPr>
                      <w:rFonts w:ascii="Verdana" w:eastAsia="Times New Roman" w:hAnsi="Verdana" w:cs="Times New Roman"/>
                      <w:sz w:val="20"/>
                      <w:szCs w:val="20"/>
                    </w:rPr>
                    <w:t>•</w:t>
                  </w:r>
                </w:p>
              </w:tc>
              <w:tc>
                <w:tcPr>
                  <w:tcW w:w="0" w:type="auto"/>
                  <w:hideMark/>
                </w:tcPr>
                <w:p w:rsidR="00235B07" w:rsidRPr="00235B07" w:rsidRDefault="00235B07" w:rsidP="00235B07">
                  <w:pPr>
                    <w:spacing w:after="0"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Bodies responsible for guaranteeing rule of law, such as the judiciary, the penal system, and human rights oversight bodies (however, due to lack of space this pillar will not be dealt with in the following).</w:t>
                  </w:r>
                </w:p>
              </w:tc>
            </w:tr>
          </w:tbl>
          <w:p w:rsidR="00235B07" w:rsidRPr="00235B07" w:rsidRDefault="00235B07" w:rsidP="00235B07">
            <w:pPr>
              <w:spacing w:before="100" w:beforeAutospacing="1" w:after="100" w:afterAutospacing="1"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 </w:t>
            </w:r>
          </w:p>
        </w:tc>
      </w:tr>
      <w:tr w:rsidR="00235B07" w:rsidRPr="00235B07" w:rsidTr="00235B07">
        <w:trPr>
          <w:tblCellSpacing w:w="0" w:type="dxa"/>
        </w:trPr>
        <w:tc>
          <w:tcPr>
            <w:tcW w:w="0" w:type="auto"/>
            <w:gridSpan w:val="3"/>
            <w:shd w:val="clear" w:color="auto" w:fill="FFFFFF"/>
            <w:hideMark/>
          </w:tcPr>
          <w:p w:rsidR="00235B07" w:rsidRPr="00235B07" w:rsidRDefault="00235B07" w:rsidP="00235B07">
            <w:pPr>
              <w:spacing w:after="240" w:line="240" w:lineRule="auto"/>
              <w:rPr>
                <w:rFonts w:ascii="Times New Roman" w:eastAsia="Times New Roman" w:hAnsi="Times New Roman" w:cs="Times New Roman"/>
                <w:sz w:val="24"/>
                <w:szCs w:val="24"/>
              </w:rPr>
            </w:pPr>
            <w:r w:rsidRPr="00235B07">
              <w:rPr>
                <w:rFonts w:ascii="Verdana" w:eastAsia="Times New Roman" w:hAnsi="Verdana" w:cs="Times New Roman"/>
                <w:b/>
                <w:bCs/>
                <w:sz w:val="24"/>
                <w:szCs w:val="24"/>
                <w:u w:val="single"/>
              </w:rPr>
              <w:t>The reform of the Palestinian Security Sector </w:t>
            </w:r>
          </w:p>
        </w:tc>
      </w:tr>
      <w:tr w:rsidR="00235B07" w:rsidRPr="00235B07" w:rsidTr="00235B07">
        <w:trPr>
          <w:tblCellSpacing w:w="0" w:type="dxa"/>
        </w:trPr>
        <w:tc>
          <w:tcPr>
            <w:tcW w:w="0" w:type="auto"/>
            <w:gridSpan w:val="3"/>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proofErr w:type="gramStart"/>
            <w:r w:rsidRPr="00235B07">
              <w:rPr>
                <w:rFonts w:ascii="Verdana" w:eastAsia="Times New Roman" w:hAnsi="Verdana" w:cs="Times New Roman"/>
                <w:b/>
                <w:bCs/>
                <w:sz w:val="20"/>
                <w:szCs w:val="20"/>
              </w:rPr>
              <w:t>Thesis </w:t>
            </w:r>
            <w:r w:rsidRPr="00235B07">
              <w:rPr>
                <w:rFonts w:ascii="Verdana" w:eastAsia="Times New Roman" w:hAnsi="Verdana" w:cs="Times New Roman"/>
                <w:sz w:val="20"/>
                <w:szCs w:val="20"/>
              </w:rPr>
              <w:t>:</w:t>
            </w:r>
            <w:proofErr w:type="gramEnd"/>
            <w:r w:rsidRPr="00235B07">
              <w:rPr>
                <w:rFonts w:ascii="Verdana" w:eastAsia="Times New Roman" w:hAnsi="Verdana" w:cs="Times New Roman"/>
                <w:sz w:val="20"/>
                <w:szCs w:val="20"/>
              </w:rPr>
              <w:t xml:space="preserve"> SSR in Palestine is a subject layered with multiple notions. Depending on the political actor – internal as well as external – there are different, one can say even contradictory understandings of what security sector reform in Palestine actually means. Two notions can be distinguished:</w:t>
            </w:r>
          </w:p>
        </w:tc>
      </w:tr>
      <w:tr w:rsidR="00235B07" w:rsidRPr="00235B07" w:rsidTr="00235B07">
        <w:trPr>
          <w:tblCellSpacing w:w="0" w:type="dxa"/>
        </w:trPr>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r>
      <w:tr w:rsidR="00235B07" w:rsidRPr="00235B07" w:rsidTr="00235B07">
        <w:trPr>
          <w:tblCellSpacing w:w="0" w:type="dxa"/>
        </w:trPr>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075" cy="200025"/>
                  <wp:effectExtent l="0" t="0" r="9525" b="9525"/>
                  <wp:docPr id="14" name="תמונה 14" descr="http://146.185.164.77/passia.org/images/new/arrow-sliver2-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46.185.164.77/passia.org/images/new/arrow-sliver2-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Verdana" w:eastAsia="Times New Roman" w:hAnsi="Verdana" w:cs="Times New Roman"/>
                <w:sz w:val="20"/>
                <w:szCs w:val="20"/>
              </w:rPr>
              <w:t xml:space="preserve">Israel and the US understand SSR as a tool of changing the existing power structure in </w:t>
            </w:r>
            <w:proofErr w:type="gramStart"/>
            <w:r w:rsidRPr="00235B07">
              <w:rPr>
                <w:rFonts w:ascii="Verdana" w:eastAsia="Times New Roman" w:hAnsi="Verdana" w:cs="Times New Roman"/>
                <w:sz w:val="20"/>
                <w:szCs w:val="20"/>
              </w:rPr>
              <w:t>Palestine ,</w:t>
            </w:r>
            <w:proofErr w:type="gramEnd"/>
            <w:r w:rsidRPr="00235B07">
              <w:rPr>
                <w:rFonts w:ascii="Verdana" w:eastAsia="Times New Roman" w:hAnsi="Verdana" w:cs="Times New Roman"/>
                <w:sz w:val="20"/>
                <w:szCs w:val="20"/>
              </w:rPr>
              <w:t xml:space="preserve"> with the underlying objective of dismantling the Arafat order. However, this objective of marginalizing a democratically elected leadership stands in remarkable contrast to the normative underpinning of SSR, i. e. the promotion of democratic structures. Hence, in this perspective one should not speak about SSR in the actual sense, but rather about efforts of restructuring the security forces</w:t>
            </w:r>
          </w:p>
        </w:tc>
      </w:tr>
      <w:tr w:rsidR="00235B07" w:rsidRPr="00235B07" w:rsidTr="00235B07">
        <w:trPr>
          <w:tblCellSpacing w:w="0" w:type="dxa"/>
        </w:trPr>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r>
      <w:tr w:rsidR="00235B07" w:rsidRPr="00235B07" w:rsidTr="00235B07">
        <w:trPr>
          <w:tblCellSpacing w:w="0" w:type="dxa"/>
        </w:trPr>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075" cy="200025"/>
                  <wp:effectExtent l="0" t="0" r="9525" b="9525"/>
                  <wp:docPr id="13" name="תמונה 13" descr="http://146.185.164.77/passia.org/images/new/arrow-sliver2-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46.185.164.77/passia.org/images/new/arrow-sliver2-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Verdana" w:eastAsia="Times New Roman" w:hAnsi="Verdana" w:cs="Times New Roman"/>
                <w:sz w:val="20"/>
                <w:szCs w:val="20"/>
              </w:rPr>
              <w:t>SSR in the proper sense of the agenda has been foremost a demand of the Palestinian citizenry. The latest PCPSR poll shows that an overwhelming majority of 92% of the Palestinians supports inside and outside calls for fundamental political reforms in the Palestinian Authority (PA), and that 80% support the unification of the Palestinian security services under the control of the cabinet. The internal demand for reform reflects the concerns of the Palestinian public with its security forces, especially regarding corruption, the inability of the security forces to guarantee law and order, their failure to protect Palestinians against Israeli incursions, and their violation of human rights.</w:t>
            </w:r>
          </w:p>
        </w:tc>
      </w:tr>
      <w:tr w:rsidR="00235B07" w:rsidRPr="00235B07" w:rsidTr="00235B07">
        <w:trPr>
          <w:tblCellSpacing w:w="0" w:type="dxa"/>
        </w:trPr>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lastRenderedPageBreak/>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r>
      <w:tr w:rsidR="00235B07" w:rsidRPr="00235B07" w:rsidTr="00235B07">
        <w:trPr>
          <w:tblCellSpacing w:w="0" w:type="dxa"/>
        </w:trPr>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075" cy="200025"/>
                  <wp:effectExtent l="0" t="0" r="9525" b="9525"/>
                  <wp:docPr id="12" name="תמונה 12" descr="http://146.185.164.77/passia.org/images/new/arrow-sliver2-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46.185.164.77/passia.org/images/new/arrow-sliver2-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Verdana" w:eastAsia="Times New Roman" w:hAnsi="Verdana" w:cs="Times New Roman"/>
                <w:sz w:val="20"/>
                <w:szCs w:val="20"/>
              </w:rPr>
              <w:t xml:space="preserve">What makes up SSR in the proper meaning of the word entails four </w:t>
            </w:r>
            <w:proofErr w:type="gramStart"/>
            <w:r w:rsidRPr="00235B07">
              <w:rPr>
                <w:rFonts w:ascii="Verdana" w:eastAsia="Times New Roman" w:hAnsi="Verdana" w:cs="Times New Roman"/>
                <w:sz w:val="20"/>
                <w:szCs w:val="20"/>
              </w:rPr>
              <w:t>dimension</w:t>
            </w:r>
            <w:proofErr w:type="gramEnd"/>
            <w:r w:rsidRPr="00235B07">
              <w:rPr>
                <w:rFonts w:ascii="Verdana" w:eastAsia="Times New Roman" w:hAnsi="Verdana" w:cs="Times New Roman"/>
                <w:sz w:val="20"/>
                <w:szCs w:val="20"/>
              </w:rPr>
              <w:t>, which will be focused on in the following: political dimension, institutional dimension, economic dimension, and societal dimension.</w:t>
            </w:r>
          </w:p>
        </w:tc>
      </w:tr>
      <w:tr w:rsidR="00235B07" w:rsidRPr="00235B07" w:rsidTr="00235B07">
        <w:trPr>
          <w:tblCellSpacing w:w="0" w:type="dxa"/>
        </w:trPr>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r>
      <w:tr w:rsidR="00235B07" w:rsidRPr="00235B07" w:rsidTr="00235B07">
        <w:trPr>
          <w:tblCellSpacing w:w="0" w:type="dxa"/>
        </w:trPr>
        <w:tc>
          <w:tcPr>
            <w:tcW w:w="0" w:type="auto"/>
            <w:gridSpan w:val="3"/>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Verdana" w:eastAsia="Times New Roman" w:hAnsi="Verdana" w:cs="Times New Roman"/>
                <w:b/>
                <w:bCs/>
                <w:sz w:val="24"/>
                <w:szCs w:val="24"/>
                <w:u w:val="single"/>
              </w:rPr>
              <w:t>Dimensions of analysis:</w:t>
            </w:r>
          </w:p>
        </w:tc>
      </w:tr>
      <w:tr w:rsidR="00235B07" w:rsidRPr="00235B07" w:rsidTr="00235B07">
        <w:trPr>
          <w:tblCellSpacing w:w="0" w:type="dxa"/>
        </w:trPr>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r>
      <w:tr w:rsidR="00235B07" w:rsidRPr="00235B07" w:rsidTr="00235B07">
        <w:trPr>
          <w:tblCellSpacing w:w="0" w:type="dxa"/>
        </w:trPr>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075" cy="200025"/>
                  <wp:effectExtent l="0" t="0" r="9525" b="9525"/>
                  <wp:docPr id="11" name="תמונה 11" descr="http://146.185.164.77/passia.org/images/new/arrow-sliver2-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46.185.164.77/passia.org/images/new/arrow-sliver2-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Verdana" w:eastAsia="Times New Roman" w:hAnsi="Verdana" w:cs="Times New Roman"/>
                <w:b/>
                <w:bCs/>
                <w:i/>
                <w:iCs/>
                <w:sz w:val="20"/>
                <w:szCs w:val="20"/>
                <w:u w:val="single"/>
              </w:rPr>
              <w:t>The political dimension, i. e. the overall internal and external context that determines the character of SSR</w:t>
            </w:r>
          </w:p>
        </w:tc>
      </w:tr>
      <w:tr w:rsidR="00235B07" w:rsidRPr="00235B07" w:rsidTr="00235B07">
        <w:trPr>
          <w:tblCellSpacing w:w="0" w:type="dxa"/>
        </w:trPr>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r>
      <w:tr w:rsidR="00235B07" w:rsidRPr="00235B07" w:rsidTr="00235B07">
        <w:trPr>
          <w:tblCellSpacing w:w="0" w:type="dxa"/>
        </w:trPr>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075" cy="200025"/>
                  <wp:effectExtent l="0" t="0" r="9525" b="9525"/>
                  <wp:docPr id="10" name="תמונה 10" descr="http://146.185.164.77/passia.org/images/new/arrow-sliver2-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46.185.164.77/passia.org/images/new/arrow-sliver2-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Verdana" w:eastAsia="Times New Roman" w:hAnsi="Verdana" w:cs="Times New Roman"/>
                <w:sz w:val="20"/>
                <w:szCs w:val="20"/>
                <w:u w:val="single"/>
              </w:rPr>
              <w:t>The external political setting</w:t>
            </w:r>
            <w:r w:rsidRPr="00235B07">
              <w:rPr>
                <w:rFonts w:ascii="Verdana" w:eastAsia="Times New Roman" w:hAnsi="Verdana" w:cs="Times New Roman"/>
                <w:sz w:val="20"/>
                <w:szCs w:val="20"/>
              </w:rPr>
              <w:t xml:space="preserve"> is characterized by massive involvement of outside actors. Different actors with different agendas are pressing for reform, such as the US and </w:t>
            </w:r>
            <w:proofErr w:type="gramStart"/>
            <w:r w:rsidRPr="00235B07">
              <w:rPr>
                <w:rFonts w:ascii="Verdana" w:eastAsia="Times New Roman" w:hAnsi="Verdana" w:cs="Times New Roman"/>
                <w:sz w:val="20"/>
                <w:szCs w:val="20"/>
              </w:rPr>
              <w:t>Israel ,</w:t>
            </w:r>
            <w:proofErr w:type="gramEnd"/>
            <w:r w:rsidRPr="00235B07">
              <w:rPr>
                <w:rFonts w:ascii="Verdana" w:eastAsia="Times New Roman" w:hAnsi="Verdana" w:cs="Times New Roman"/>
                <w:sz w:val="20"/>
                <w:szCs w:val="20"/>
              </w:rPr>
              <w:t xml:space="preserve"> the EU, and recently Egypt and Jordan , with the EU probably being closest to the Palestinian demands.</w:t>
            </w:r>
          </w:p>
        </w:tc>
      </w:tr>
      <w:tr w:rsidR="00235B07" w:rsidRPr="00235B07" w:rsidTr="00235B07">
        <w:trPr>
          <w:tblCellSpacing w:w="0" w:type="dxa"/>
        </w:trPr>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r>
      <w:tr w:rsidR="00235B07" w:rsidRPr="00235B07" w:rsidTr="00235B07">
        <w:trPr>
          <w:tblCellSpacing w:w="0" w:type="dxa"/>
        </w:trPr>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075" cy="200025"/>
                  <wp:effectExtent l="0" t="0" r="9525" b="9525"/>
                  <wp:docPr id="9" name="תמונה 9" descr="http://146.185.164.77/passia.org/images/new/arrow-sliver2-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46.185.164.77/passia.org/images/new/arrow-sliver2-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Verdana" w:eastAsia="Times New Roman" w:hAnsi="Verdana" w:cs="Times New Roman"/>
                <w:sz w:val="20"/>
                <w:szCs w:val="20"/>
                <w:u w:val="single"/>
              </w:rPr>
              <w:t>The internal political setting</w:t>
            </w:r>
            <w:r w:rsidRPr="00235B07">
              <w:rPr>
                <w:rFonts w:ascii="Verdana" w:eastAsia="Times New Roman" w:hAnsi="Verdana" w:cs="Times New Roman"/>
                <w:sz w:val="20"/>
                <w:szCs w:val="20"/>
              </w:rPr>
              <w:t> is characterized by two factors.</w:t>
            </w:r>
          </w:p>
        </w:tc>
      </w:tr>
      <w:tr w:rsidR="00235B07" w:rsidRPr="00235B07" w:rsidTr="00235B07">
        <w:trPr>
          <w:tblCellSpacing w:w="0" w:type="dxa"/>
        </w:trPr>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r>
      <w:tr w:rsidR="00235B07" w:rsidRPr="00235B07" w:rsidTr="00235B07">
        <w:trPr>
          <w:tblCellSpacing w:w="0" w:type="dxa"/>
        </w:trPr>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numPr>
                <w:ilvl w:val="0"/>
                <w:numId w:val="2"/>
              </w:numPr>
              <w:spacing w:before="100" w:beforeAutospacing="1" w:after="100" w:afterAutospacing="1" w:line="285" w:lineRule="atLeast"/>
              <w:rPr>
                <w:rFonts w:ascii="Verdana" w:eastAsia="Times New Roman" w:hAnsi="Verdana" w:cs="Times New Roman"/>
                <w:sz w:val="20"/>
                <w:szCs w:val="20"/>
              </w:rPr>
            </w:pPr>
            <w:r w:rsidRPr="00235B07">
              <w:rPr>
                <w:rFonts w:ascii="Verdana" w:eastAsia="Times New Roman" w:hAnsi="Verdana" w:cs="Times New Roman"/>
                <w:sz w:val="20"/>
                <w:szCs w:val="20"/>
                <w:u w:val="single"/>
              </w:rPr>
              <w:t>Political legitimacy of the PA</w:t>
            </w:r>
            <w:proofErr w:type="gramStart"/>
            <w:r w:rsidRPr="00235B07">
              <w:rPr>
                <w:rFonts w:ascii="Verdana" w:eastAsia="Times New Roman" w:hAnsi="Verdana" w:cs="Times New Roman"/>
                <w:sz w:val="20"/>
                <w:szCs w:val="20"/>
                <w:u w:val="single"/>
              </w:rPr>
              <w:t>:</w:t>
            </w:r>
            <w:proofErr w:type="gramEnd"/>
            <w:r w:rsidRPr="00235B07">
              <w:rPr>
                <w:rFonts w:ascii="Verdana" w:eastAsia="Times New Roman" w:hAnsi="Verdana" w:cs="Times New Roman"/>
                <w:sz w:val="20"/>
                <w:szCs w:val="20"/>
              </w:rPr>
              <w:br/>
              <w:t>The SSR agenda stipulates the necessity of at least the semblance of state legitimacy and the presence of democratically elected officials who can cooperate, discuss, reach agreement on direction of SSR and are able to exercise control and oversight. </w:t>
            </w:r>
            <w:r w:rsidRPr="00235B07">
              <w:rPr>
                <w:rFonts w:ascii="Verdana" w:eastAsia="Times New Roman" w:hAnsi="Verdana" w:cs="Times New Roman"/>
                <w:sz w:val="20"/>
                <w:szCs w:val="20"/>
              </w:rPr>
              <w:br/>
            </w:r>
            <w:r w:rsidRPr="00235B07">
              <w:rPr>
                <w:rFonts w:ascii="Verdana" w:eastAsia="Times New Roman" w:hAnsi="Verdana" w:cs="Times New Roman"/>
                <w:sz w:val="20"/>
                <w:szCs w:val="20"/>
                <w:u w:val="single"/>
              </w:rPr>
              <w:t>Palestine :</w:t>
            </w:r>
          </w:p>
          <w:tbl>
            <w:tblPr>
              <w:tblW w:w="4600" w:type="pct"/>
              <w:tblCellSpacing w:w="0" w:type="dxa"/>
              <w:tblInd w:w="720" w:type="dxa"/>
              <w:tblCellMar>
                <w:left w:w="0" w:type="dxa"/>
                <w:right w:w="0" w:type="dxa"/>
              </w:tblCellMar>
              <w:tblLook w:val="04A0" w:firstRow="1" w:lastRow="0" w:firstColumn="1" w:lastColumn="0" w:noHBand="0" w:noVBand="1"/>
            </w:tblPr>
            <w:tblGrid>
              <w:gridCol w:w="470"/>
              <w:gridCol w:w="7367"/>
            </w:tblGrid>
            <w:tr w:rsidR="00235B07" w:rsidRPr="00235B07" w:rsidTr="00235B07">
              <w:trPr>
                <w:tblCellSpacing w:w="0" w:type="dxa"/>
              </w:trPr>
              <w:tc>
                <w:tcPr>
                  <w:tcW w:w="300" w:type="pct"/>
                  <w:hideMark/>
                </w:tcPr>
                <w:p w:rsidR="00235B07" w:rsidRPr="00235B07" w:rsidRDefault="00235B07" w:rsidP="00235B07">
                  <w:pPr>
                    <w:spacing w:after="0" w:line="285" w:lineRule="atLeast"/>
                    <w:jc w:val="center"/>
                    <w:rPr>
                      <w:rFonts w:ascii="Verdana" w:eastAsia="Times New Roman" w:hAnsi="Verdana" w:cs="Times New Roman"/>
                      <w:sz w:val="20"/>
                      <w:szCs w:val="20"/>
                    </w:rPr>
                  </w:pPr>
                  <w:r w:rsidRPr="00235B07">
                    <w:rPr>
                      <w:rFonts w:ascii="Verdana" w:eastAsia="Times New Roman" w:hAnsi="Verdana" w:cs="Times New Roman"/>
                      <w:sz w:val="20"/>
                      <w:szCs w:val="20"/>
                    </w:rPr>
                    <w:t>•</w:t>
                  </w:r>
                </w:p>
              </w:tc>
              <w:tc>
                <w:tcPr>
                  <w:tcW w:w="4700" w:type="pct"/>
                  <w:hideMark/>
                </w:tcPr>
                <w:p w:rsidR="00235B07" w:rsidRPr="00235B07" w:rsidRDefault="00235B07" w:rsidP="00235B07">
                  <w:pPr>
                    <w:spacing w:after="0"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The PA derives its existence and legitimacy from the Oslo accords. The PA is not a state, but more of a set of institutional arrangements designed to meet external needs. Futhermore, the existing institutions have been severely affected by the Israeli military actions during the second Intifada.</w:t>
                  </w:r>
                </w:p>
              </w:tc>
            </w:tr>
            <w:tr w:rsidR="00235B07" w:rsidRPr="00235B07" w:rsidTr="00235B07">
              <w:trPr>
                <w:tblCellSpacing w:w="0" w:type="dxa"/>
              </w:trPr>
              <w:tc>
                <w:tcPr>
                  <w:tcW w:w="0" w:type="auto"/>
                  <w:hideMark/>
                </w:tcPr>
                <w:p w:rsidR="00235B07" w:rsidRPr="00235B07" w:rsidRDefault="00235B07" w:rsidP="00235B07">
                  <w:pPr>
                    <w:spacing w:after="0" w:line="285" w:lineRule="atLeast"/>
                    <w:jc w:val="center"/>
                    <w:rPr>
                      <w:rFonts w:ascii="Verdana" w:eastAsia="Times New Roman" w:hAnsi="Verdana" w:cs="Times New Roman"/>
                      <w:sz w:val="20"/>
                      <w:szCs w:val="20"/>
                    </w:rPr>
                  </w:pPr>
                  <w:r w:rsidRPr="00235B07">
                    <w:rPr>
                      <w:rFonts w:ascii="Verdana" w:eastAsia="Times New Roman" w:hAnsi="Verdana" w:cs="Times New Roman"/>
                      <w:sz w:val="20"/>
                      <w:szCs w:val="20"/>
                    </w:rPr>
                    <w:t>•</w:t>
                  </w:r>
                </w:p>
              </w:tc>
              <w:tc>
                <w:tcPr>
                  <w:tcW w:w="0" w:type="auto"/>
                  <w:hideMark/>
                </w:tcPr>
                <w:p w:rsidR="00235B07" w:rsidRPr="00235B07" w:rsidRDefault="00235B07" w:rsidP="00235B07">
                  <w:pPr>
                    <w:spacing w:after="0"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Internal politics, especially during the Oslo years, can be characterised as a neopatrimonial system under the rule of Yasir Arafat, i. e. a system where legitimacy, state authority and influence of the ruler are maintained by political manipulation via material incentives and patron-client relations.</w:t>
                  </w:r>
                </w:p>
              </w:tc>
            </w:tr>
            <w:tr w:rsidR="00235B07" w:rsidRPr="00235B07" w:rsidTr="00235B07">
              <w:trPr>
                <w:tblCellSpacing w:w="0" w:type="dxa"/>
              </w:trPr>
              <w:tc>
                <w:tcPr>
                  <w:tcW w:w="0" w:type="auto"/>
                  <w:hideMark/>
                </w:tcPr>
                <w:p w:rsidR="00235B07" w:rsidRPr="00235B07" w:rsidRDefault="00235B07" w:rsidP="00235B07">
                  <w:pPr>
                    <w:spacing w:after="0" w:line="285" w:lineRule="atLeast"/>
                    <w:jc w:val="center"/>
                    <w:rPr>
                      <w:rFonts w:ascii="Verdana" w:eastAsia="Times New Roman" w:hAnsi="Verdana" w:cs="Times New Roman"/>
                      <w:sz w:val="20"/>
                      <w:szCs w:val="20"/>
                    </w:rPr>
                  </w:pPr>
                  <w:r w:rsidRPr="00235B07">
                    <w:rPr>
                      <w:rFonts w:ascii="Verdana" w:eastAsia="Times New Roman" w:hAnsi="Verdana" w:cs="Times New Roman"/>
                      <w:sz w:val="20"/>
                      <w:szCs w:val="20"/>
                    </w:rPr>
                    <w:t>•</w:t>
                  </w:r>
                </w:p>
              </w:tc>
              <w:tc>
                <w:tcPr>
                  <w:tcW w:w="0" w:type="auto"/>
                  <w:hideMark/>
                </w:tcPr>
                <w:p w:rsidR="00235B07" w:rsidRPr="00235B07" w:rsidRDefault="00235B07" w:rsidP="00235B07">
                  <w:pPr>
                    <w:spacing w:after="0"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In short, the legitimacy of the PA is still to be consolidated internally, regionally and internationally. Those governing are still fighting for statehood and recognition. The target for reform is therefore a quasi-state with disputed identity.</w:t>
                  </w:r>
                </w:p>
              </w:tc>
            </w:tr>
            <w:tr w:rsidR="00235B07" w:rsidRPr="00235B07" w:rsidTr="00235B07">
              <w:trPr>
                <w:tblCellSpacing w:w="0" w:type="dxa"/>
              </w:trPr>
              <w:tc>
                <w:tcPr>
                  <w:tcW w:w="0" w:type="auto"/>
                  <w:hideMark/>
                </w:tcPr>
                <w:p w:rsidR="00235B07" w:rsidRPr="00235B07" w:rsidRDefault="00235B07" w:rsidP="00235B07">
                  <w:pPr>
                    <w:spacing w:after="0"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 </w:t>
                  </w:r>
                </w:p>
              </w:tc>
              <w:tc>
                <w:tcPr>
                  <w:tcW w:w="0" w:type="auto"/>
                  <w:hideMark/>
                </w:tcPr>
                <w:p w:rsidR="00235B07" w:rsidRPr="00235B07" w:rsidRDefault="00235B07" w:rsidP="00235B07">
                  <w:pPr>
                    <w:spacing w:after="0"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 </w:t>
                  </w:r>
                </w:p>
              </w:tc>
            </w:tr>
          </w:tbl>
          <w:p w:rsidR="00235B07" w:rsidRPr="00235B07" w:rsidRDefault="00235B07" w:rsidP="00235B07">
            <w:pPr>
              <w:numPr>
                <w:ilvl w:val="0"/>
                <w:numId w:val="2"/>
              </w:numPr>
              <w:spacing w:before="100" w:beforeAutospacing="1" w:after="100" w:afterAutospacing="1" w:line="285" w:lineRule="atLeast"/>
              <w:rPr>
                <w:rFonts w:ascii="Verdana" w:eastAsia="Times New Roman" w:hAnsi="Verdana" w:cs="Times New Roman"/>
                <w:sz w:val="20"/>
                <w:szCs w:val="20"/>
              </w:rPr>
            </w:pPr>
          </w:p>
        </w:tc>
      </w:tr>
      <w:tr w:rsidR="00235B07" w:rsidRPr="00235B07" w:rsidTr="00235B07">
        <w:trPr>
          <w:tblCellSpacing w:w="0" w:type="dxa"/>
        </w:trPr>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numPr>
                <w:ilvl w:val="0"/>
                <w:numId w:val="3"/>
              </w:numPr>
              <w:spacing w:before="100" w:beforeAutospacing="1" w:after="100" w:afterAutospacing="1" w:line="285" w:lineRule="atLeast"/>
              <w:rPr>
                <w:rFonts w:ascii="Verdana" w:eastAsia="Times New Roman" w:hAnsi="Verdana" w:cs="Times New Roman"/>
                <w:sz w:val="20"/>
                <w:szCs w:val="20"/>
              </w:rPr>
            </w:pPr>
            <w:r w:rsidRPr="00235B07">
              <w:rPr>
                <w:rFonts w:ascii="Verdana" w:eastAsia="Times New Roman" w:hAnsi="Verdana" w:cs="Times New Roman"/>
                <w:sz w:val="20"/>
                <w:szCs w:val="20"/>
                <w:u w:val="single"/>
              </w:rPr>
              <w:t>Strategic priorities of key actors.</w:t>
            </w:r>
            <w:r w:rsidRPr="00235B07">
              <w:rPr>
                <w:rFonts w:ascii="Verdana" w:eastAsia="Times New Roman" w:hAnsi="Verdana" w:cs="Times New Roman"/>
                <w:sz w:val="20"/>
                <w:szCs w:val="20"/>
              </w:rPr>
              <w:t> These are the primary factors influencing decisions about security made by those governing and controlling key security sector posts. Here the reform context is constrained by what the elite or other power clusters identify as being threatening.</w:t>
            </w:r>
            <w:r w:rsidRPr="00235B07">
              <w:rPr>
                <w:rFonts w:ascii="Verdana" w:eastAsia="Times New Roman" w:hAnsi="Verdana" w:cs="Times New Roman"/>
                <w:sz w:val="20"/>
                <w:szCs w:val="20"/>
              </w:rPr>
              <w:br/>
            </w:r>
            <w:r w:rsidRPr="00235B07">
              <w:rPr>
                <w:rFonts w:ascii="Verdana" w:eastAsia="Times New Roman" w:hAnsi="Verdana" w:cs="Times New Roman"/>
                <w:sz w:val="20"/>
                <w:szCs w:val="20"/>
                <w:u w:val="single"/>
              </w:rPr>
              <w:lastRenderedPageBreak/>
              <w:t>Palestine :</w:t>
            </w:r>
          </w:p>
          <w:tbl>
            <w:tblPr>
              <w:tblW w:w="4600" w:type="pct"/>
              <w:tblCellSpacing w:w="0" w:type="dxa"/>
              <w:tblInd w:w="720" w:type="dxa"/>
              <w:tblCellMar>
                <w:left w:w="0" w:type="dxa"/>
                <w:right w:w="0" w:type="dxa"/>
              </w:tblCellMar>
              <w:tblLook w:val="04A0" w:firstRow="1" w:lastRow="0" w:firstColumn="1" w:lastColumn="0" w:noHBand="0" w:noVBand="1"/>
            </w:tblPr>
            <w:tblGrid>
              <w:gridCol w:w="470"/>
              <w:gridCol w:w="7367"/>
            </w:tblGrid>
            <w:tr w:rsidR="00235B07" w:rsidRPr="00235B07" w:rsidTr="00235B07">
              <w:trPr>
                <w:tblCellSpacing w:w="0" w:type="dxa"/>
              </w:trPr>
              <w:tc>
                <w:tcPr>
                  <w:tcW w:w="300" w:type="pct"/>
                  <w:hideMark/>
                </w:tcPr>
                <w:p w:rsidR="00235B07" w:rsidRPr="00235B07" w:rsidRDefault="00235B07" w:rsidP="00235B07">
                  <w:pPr>
                    <w:spacing w:after="0" w:line="285" w:lineRule="atLeast"/>
                    <w:jc w:val="center"/>
                    <w:rPr>
                      <w:rFonts w:ascii="Verdana" w:eastAsia="Times New Roman" w:hAnsi="Verdana" w:cs="Times New Roman"/>
                      <w:sz w:val="20"/>
                      <w:szCs w:val="20"/>
                    </w:rPr>
                  </w:pPr>
                  <w:r w:rsidRPr="00235B07">
                    <w:rPr>
                      <w:rFonts w:ascii="Verdana" w:eastAsia="Times New Roman" w:hAnsi="Verdana" w:cs="Times New Roman"/>
                      <w:sz w:val="20"/>
                      <w:szCs w:val="20"/>
                    </w:rPr>
                    <w:t>•</w:t>
                  </w:r>
                </w:p>
              </w:tc>
              <w:tc>
                <w:tcPr>
                  <w:tcW w:w="4700" w:type="pct"/>
                  <w:hideMark/>
                </w:tcPr>
                <w:p w:rsidR="00235B07" w:rsidRPr="00235B07" w:rsidRDefault="00235B07" w:rsidP="00235B07">
                  <w:pPr>
                    <w:spacing w:after="0"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Yasir Arafat is in total control of the security forces, which is one of the last power assets he still has. He rules them by putting different agencies and their respective heads against each other and letting them compete, with him as the pivotal point of the system and the final arbiter.</w:t>
                  </w:r>
                </w:p>
              </w:tc>
            </w:tr>
            <w:tr w:rsidR="00235B07" w:rsidRPr="00235B07" w:rsidTr="00235B07">
              <w:trPr>
                <w:tblCellSpacing w:w="0" w:type="dxa"/>
              </w:trPr>
              <w:tc>
                <w:tcPr>
                  <w:tcW w:w="0" w:type="auto"/>
                  <w:hideMark/>
                </w:tcPr>
                <w:p w:rsidR="00235B07" w:rsidRPr="00235B07" w:rsidRDefault="00235B07" w:rsidP="00235B07">
                  <w:pPr>
                    <w:spacing w:after="0" w:line="285" w:lineRule="atLeast"/>
                    <w:jc w:val="center"/>
                    <w:rPr>
                      <w:rFonts w:ascii="Verdana" w:eastAsia="Times New Roman" w:hAnsi="Verdana" w:cs="Times New Roman"/>
                      <w:sz w:val="20"/>
                      <w:szCs w:val="20"/>
                    </w:rPr>
                  </w:pPr>
                  <w:r w:rsidRPr="00235B07">
                    <w:rPr>
                      <w:rFonts w:ascii="Verdana" w:eastAsia="Times New Roman" w:hAnsi="Verdana" w:cs="Times New Roman"/>
                      <w:sz w:val="20"/>
                      <w:szCs w:val="20"/>
                    </w:rPr>
                    <w:t>•</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69"/>
                    <w:gridCol w:w="589"/>
                    <w:gridCol w:w="6409"/>
                  </w:tblGrid>
                  <w:tr w:rsidR="00235B07" w:rsidRPr="00235B07">
                    <w:trPr>
                      <w:tblCellSpacing w:w="0" w:type="dxa"/>
                    </w:trPr>
                    <w:tc>
                      <w:tcPr>
                        <w:tcW w:w="0" w:type="auto"/>
                        <w:gridSpan w:val="3"/>
                        <w:hideMark/>
                      </w:tcPr>
                      <w:p w:rsidR="00235B07" w:rsidRPr="00235B07" w:rsidRDefault="00235B07" w:rsidP="00235B07">
                        <w:pPr>
                          <w:spacing w:after="0"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The political relevant elite, i.e those who wield political power by taking strategic decisions or participating in decision-making, comprises PLO/PA officials, security officials, and Fateh leaders, and there is a considerable overlap of functions and posts.</w:t>
                        </w:r>
                      </w:p>
                    </w:tc>
                  </w:tr>
                  <w:tr w:rsidR="00235B07" w:rsidRPr="00235B07">
                    <w:trPr>
                      <w:tblCellSpacing w:w="0" w:type="dxa"/>
                    </w:trPr>
                    <w:tc>
                      <w:tcPr>
                        <w:tcW w:w="250" w:type="pct"/>
                        <w:hideMark/>
                      </w:tcPr>
                      <w:p w:rsidR="00235B07" w:rsidRPr="00235B07" w:rsidRDefault="00235B07" w:rsidP="00235B07">
                        <w:pPr>
                          <w:spacing w:after="0" w:line="285" w:lineRule="atLeast"/>
                          <w:jc w:val="center"/>
                          <w:rPr>
                            <w:rFonts w:ascii="Verdana" w:eastAsia="Times New Roman" w:hAnsi="Verdana" w:cs="Times New Roman"/>
                            <w:sz w:val="20"/>
                            <w:szCs w:val="20"/>
                          </w:rPr>
                        </w:pPr>
                        <w:r w:rsidRPr="00235B07">
                          <w:rPr>
                            <w:rFonts w:ascii="Verdana" w:eastAsia="Times New Roman" w:hAnsi="Verdana" w:cs="Times New Roman"/>
                            <w:sz w:val="20"/>
                            <w:szCs w:val="20"/>
                          </w:rPr>
                          <w:t>•</w:t>
                        </w:r>
                      </w:p>
                    </w:tc>
                    <w:tc>
                      <w:tcPr>
                        <w:tcW w:w="0" w:type="auto"/>
                        <w:gridSpan w:val="2"/>
                        <w:hideMark/>
                      </w:tcPr>
                      <w:p w:rsidR="00235B07" w:rsidRPr="00235B07" w:rsidRDefault="00235B07" w:rsidP="00235B07">
                        <w:pPr>
                          <w:spacing w:after="0"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Three layers can be distinguished:</w:t>
                        </w:r>
                      </w:p>
                    </w:tc>
                  </w:tr>
                  <w:tr w:rsidR="00235B07" w:rsidRPr="00235B07">
                    <w:trPr>
                      <w:tblCellSpacing w:w="0" w:type="dxa"/>
                    </w:trPr>
                    <w:tc>
                      <w:tcPr>
                        <w:tcW w:w="0" w:type="auto"/>
                        <w:hideMark/>
                      </w:tcPr>
                      <w:p w:rsidR="00235B07" w:rsidRPr="00235B07" w:rsidRDefault="00235B07" w:rsidP="00235B07">
                        <w:pPr>
                          <w:spacing w:after="0"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 </w:t>
                        </w:r>
                      </w:p>
                    </w:tc>
                    <w:tc>
                      <w:tcPr>
                        <w:tcW w:w="400" w:type="pct"/>
                        <w:hideMark/>
                      </w:tcPr>
                      <w:p w:rsidR="00235B07" w:rsidRPr="00235B07" w:rsidRDefault="00235B07" w:rsidP="00235B07">
                        <w:pPr>
                          <w:spacing w:after="0" w:line="285" w:lineRule="atLeast"/>
                          <w:jc w:val="center"/>
                          <w:rPr>
                            <w:rFonts w:ascii="Verdana" w:eastAsia="Times New Roman" w:hAnsi="Verdana" w:cs="Times New Roman"/>
                            <w:sz w:val="20"/>
                            <w:szCs w:val="20"/>
                          </w:rPr>
                        </w:pPr>
                        <w:r>
                          <w:rPr>
                            <w:rFonts w:ascii="Verdana" w:eastAsia="Times New Roman" w:hAnsi="Verdana" w:cs="Times New Roman"/>
                            <w:noProof/>
                            <w:sz w:val="20"/>
                            <w:szCs w:val="20"/>
                          </w:rPr>
                          <w:drawing>
                            <wp:inline distT="0" distB="0" distL="0" distR="0">
                              <wp:extent cx="76200" cy="152400"/>
                              <wp:effectExtent l="0" t="0" r="0" b="0"/>
                              <wp:docPr id="8" name="תמונה 8" descr="http://146.185.164.77/passia.org/images/new/bull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46.185.164.77/passia.org/images/new/bullet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p>
                    </w:tc>
                    <w:tc>
                      <w:tcPr>
                        <w:tcW w:w="4350" w:type="pct"/>
                        <w:hideMark/>
                      </w:tcPr>
                      <w:p w:rsidR="00235B07" w:rsidRPr="00235B07" w:rsidRDefault="00235B07" w:rsidP="00235B07">
                        <w:pPr>
                          <w:spacing w:after="0"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The “Old guard”, especially members of the Fateh Central Committee.</w:t>
                        </w:r>
                      </w:p>
                    </w:tc>
                  </w:tr>
                  <w:tr w:rsidR="00235B07" w:rsidRPr="00235B07">
                    <w:trPr>
                      <w:tblCellSpacing w:w="0" w:type="dxa"/>
                    </w:trPr>
                    <w:tc>
                      <w:tcPr>
                        <w:tcW w:w="0" w:type="auto"/>
                        <w:hideMark/>
                      </w:tcPr>
                      <w:p w:rsidR="00235B07" w:rsidRPr="00235B07" w:rsidRDefault="00235B07" w:rsidP="00235B07">
                        <w:pPr>
                          <w:spacing w:after="0"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 </w:t>
                        </w:r>
                      </w:p>
                    </w:tc>
                    <w:tc>
                      <w:tcPr>
                        <w:tcW w:w="400" w:type="pct"/>
                        <w:hideMark/>
                      </w:tcPr>
                      <w:p w:rsidR="00235B07" w:rsidRPr="00235B07" w:rsidRDefault="00235B07" w:rsidP="00235B07">
                        <w:pPr>
                          <w:spacing w:after="0" w:line="285" w:lineRule="atLeast"/>
                          <w:jc w:val="center"/>
                          <w:rPr>
                            <w:rFonts w:ascii="Verdana" w:eastAsia="Times New Roman" w:hAnsi="Verdana" w:cs="Times New Roman"/>
                            <w:sz w:val="20"/>
                            <w:szCs w:val="20"/>
                          </w:rPr>
                        </w:pPr>
                        <w:r>
                          <w:rPr>
                            <w:rFonts w:ascii="Verdana" w:eastAsia="Times New Roman" w:hAnsi="Verdana" w:cs="Times New Roman"/>
                            <w:noProof/>
                            <w:sz w:val="20"/>
                            <w:szCs w:val="20"/>
                          </w:rPr>
                          <w:drawing>
                            <wp:inline distT="0" distB="0" distL="0" distR="0">
                              <wp:extent cx="76200" cy="152400"/>
                              <wp:effectExtent l="0" t="0" r="0" b="0"/>
                              <wp:docPr id="7" name="תמונה 7" descr="http://146.185.164.77/passia.org/images/new/bull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46.185.164.77/passia.org/images/new/bullet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p>
                    </w:tc>
                    <w:tc>
                      <w:tcPr>
                        <w:tcW w:w="0" w:type="auto"/>
                        <w:hideMark/>
                      </w:tcPr>
                      <w:p w:rsidR="00235B07" w:rsidRPr="00235B07" w:rsidRDefault="00235B07" w:rsidP="00235B07">
                        <w:pPr>
                          <w:spacing w:before="100" w:beforeAutospacing="1" w:after="100" w:afterAutospacing="1"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The “Young guard”: Individuals such as Marwan Barghouthi, Jibril Rajoub, Mohammed Dahlan, members of the PLC and of the Fateh Revolutionary Council.</w:t>
                        </w:r>
                      </w:p>
                    </w:tc>
                  </w:tr>
                  <w:tr w:rsidR="00235B07" w:rsidRPr="00235B07">
                    <w:trPr>
                      <w:tblCellSpacing w:w="0" w:type="dxa"/>
                    </w:trPr>
                    <w:tc>
                      <w:tcPr>
                        <w:tcW w:w="0" w:type="auto"/>
                        <w:hideMark/>
                      </w:tcPr>
                      <w:p w:rsidR="00235B07" w:rsidRPr="00235B07" w:rsidRDefault="00235B07" w:rsidP="00235B07">
                        <w:pPr>
                          <w:spacing w:after="0"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 </w:t>
                        </w:r>
                      </w:p>
                    </w:tc>
                    <w:tc>
                      <w:tcPr>
                        <w:tcW w:w="400" w:type="pct"/>
                        <w:hideMark/>
                      </w:tcPr>
                      <w:p w:rsidR="00235B07" w:rsidRPr="00235B07" w:rsidRDefault="00235B07" w:rsidP="00235B07">
                        <w:pPr>
                          <w:spacing w:after="0" w:line="285" w:lineRule="atLeast"/>
                          <w:jc w:val="center"/>
                          <w:rPr>
                            <w:rFonts w:ascii="Verdana" w:eastAsia="Times New Roman" w:hAnsi="Verdana" w:cs="Times New Roman"/>
                            <w:sz w:val="20"/>
                            <w:szCs w:val="20"/>
                          </w:rPr>
                        </w:pPr>
                        <w:r>
                          <w:rPr>
                            <w:rFonts w:ascii="Verdana" w:eastAsia="Times New Roman" w:hAnsi="Verdana" w:cs="Times New Roman"/>
                            <w:noProof/>
                            <w:sz w:val="20"/>
                            <w:szCs w:val="20"/>
                          </w:rPr>
                          <w:drawing>
                            <wp:inline distT="0" distB="0" distL="0" distR="0">
                              <wp:extent cx="76200" cy="152400"/>
                              <wp:effectExtent l="0" t="0" r="0" b="0"/>
                              <wp:docPr id="6" name="תמונה 6" descr="http://146.185.164.77/passia.org/images/new/bull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46.185.164.77/passia.org/images/new/bullet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p>
                    </w:tc>
                    <w:tc>
                      <w:tcPr>
                        <w:tcW w:w="0" w:type="auto"/>
                        <w:hideMark/>
                      </w:tcPr>
                      <w:p w:rsidR="00235B07" w:rsidRPr="00235B07" w:rsidRDefault="00235B07" w:rsidP="00235B07">
                        <w:pPr>
                          <w:spacing w:after="0"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Young activists on the grassroots level, such as the Tanzim and the Kataeb Shuhada Al-Aqsa.</w:t>
                        </w:r>
                      </w:p>
                    </w:tc>
                  </w:tr>
                  <w:tr w:rsidR="00235B07" w:rsidRPr="00235B07">
                    <w:trPr>
                      <w:tblCellSpacing w:w="0" w:type="dxa"/>
                    </w:trPr>
                    <w:tc>
                      <w:tcPr>
                        <w:tcW w:w="0" w:type="auto"/>
                        <w:hideMark/>
                      </w:tcPr>
                      <w:p w:rsidR="00235B07" w:rsidRPr="00235B07" w:rsidRDefault="00235B07" w:rsidP="00235B07">
                        <w:pPr>
                          <w:spacing w:after="0"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 </w:t>
                        </w:r>
                      </w:p>
                    </w:tc>
                    <w:tc>
                      <w:tcPr>
                        <w:tcW w:w="0" w:type="auto"/>
                        <w:hideMark/>
                      </w:tcPr>
                      <w:p w:rsidR="00235B07" w:rsidRPr="00235B07" w:rsidRDefault="00235B07" w:rsidP="00235B07">
                        <w:pPr>
                          <w:spacing w:after="0"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 </w:t>
                        </w:r>
                      </w:p>
                    </w:tc>
                    <w:tc>
                      <w:tcPr>
                        <w:tcW w:w="0" w:type="auto"/>
                        <w:hideMark/>
                      </w:tcPr>
                      <w:p w:rsidR="00235B07" w:rsidRPr="00235B07" w:rsidRDefault="00235B07" w:rsidP="00235B07">
                        <w:pPr>
                          <w:spacing w:after="0"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 </w:t>
                        </w:r>
                      </w:p>
                    </w:tc>
                  </w:tr>
                  <w:tr w:rsidR="00235B07" w:rsidRPr="00235B07">
                    <w:trPr>
                      <w:tblCellSpacing w:w="0" w:type="dxa"/>
                    </w:trPr>
                    <w:tc>
                      <w:tcPr>
                        <w:tcW w:w="0" w:type="auto"/>
                        <w:hideMark/>
                      </w:tcPr>
                      <w:p w:rsidR="00235B07" w:rsidRPr="00235B07" w:rsidRDefault="00235B07" w:rsidP="00235B07">
                        <w:pPr>
                          <w:spacing w:after="0" w:line="285" w:lineRule="atLeast"/>
                          <w:jc w:val="center"/>
                          <w:rPr>
                            <w:rFonts w:ascii="Verdana" w:eastAsia="Times New Roman" w:hAnsi="Verdana" w:cs="Times New Roman"/>
                            <w:sz w:val="20"/>
                            <w:szCs w:val="20"/>
                          </w:rPr>
                        </w:pPr>
                        <w:r w:rsidRPr="00235B07">
                          <w:rPr>
                            <w:rFonts w:ascii="Verdana" w:eastAsia="Times New Roman" w:hAnsi="Verdana" w:cs="Times New Roman"/>
                            <w:sz w:val="20"/>
                            <w:szCs w:val="20"/>
                          </w:rPr>
                          <w:t>•</w:t>
                        </w:r>
                      </w:p>
                    </w:tc>
                    <w:tc>
                      <w:tcPr>
                        <w:tcW w:w="0" w:type="auto"/>
                        <w:gridSpan w:val="2"/>
                        <w:hideMark/>
                      </w:tcPr>
                      <w:p w:rsidR="00235B07" w:rsidRPr="00235B07" w:rsidRDefault="00235B07" w:rsidP="00235B07">
                        <w:pPr>
                          <w:spacing w:after="0"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Within this power structure there are numerous conflict lines between insiders and outsiders, “young” and “old guard”, reformers and those who oppose reform</w:t>
                        </w:r>
                      </w:p>
                    </w:tc>
                  </w:tr>
                  <w:tr w:rsidR="00235B07" w:rsidRPr="00235B07">
                    <w:trPr>
                      <w:tblCellSpacing w:w="0" w:type="dxa"/>
                    </w:trPr>
                    <w:tc>
                      <w:tcPr>
                        <w:tcW w:w="0" w:type="auto"/>
                        <w:hideMark/>
                      </w:tcPr>
                      <w:p w:rsidR="00235B07" w:rsidRPr="00235B07" w:rsidRDefault="00235B07" w:rsidP="00235B07">
                        <w:pPr>
                          <w:spacing w:after="0" w:line="285" w:lineRule="atLeast"/>
                          <w:jc w:val="center"/>
                          <w:rPr>
                            <w:rFonts w:ascii="Verdana" w:eastAsia="Times New Roman" w:hAnsi="Verdana" w:cs="Times New Roman"/>
                            <w:sz w:val="20"/>
                            <w:szCs w:val="20"/>
                          </w:rPr>
                        </w:pPr>
                        <w:r w:rsidRPr="00235B07">
                          <w:rPr>
                            <w:rFonts w:ascii="Verdana" w:eastAsia="Times New Roman" w:hAnsi="Verdana" w:cs="Times New Roman"/>
                            <w:sz w:val="20"/>
                            <w:szCs w:val="20"/>
                          </w:rPr>
                          <w:t>•</w:t>
                        </w:r>
                      </w:p>
                    </w:tc>
                    <w:tc>
                      <w:tcPr>
                        <w:tcW w:w="0" w:type="auto"/>
                        <w:gridSpan w:val="2"/>
                        <w:hideMark/>
                      </w:tcPr>
                      <w:p w:rsidR="00235B07" w:rsidRPr="00235B07" w:rsidRDefault="00235B07" w:rsidP="00235B07">
                        <w:pPr>
                          <w:spacing w:after="0"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Due to the simultaneous performance of individuals as heads of security forces, PA officials and Fateh members, the security sector is highly politicized.</w:t>
                        </w:r>
                      </w:p>
                    </w:tc>
                  </w:tr>
                  <w:tr w:rsidR="00235B07" w:rsidRPr="00235B07">
                    <w:trPr>
                      <w:tblCellSpacing w:w="0" w:type="dxa"/>
                    </w:trPr>
                    <w:tc>
                      <w:tcPr>
                        <w:tcW w:w="0" w:type="auto"/>
                        <w:hideMark/>
                      </w:tcPr>
                      <w:p w:rsidR="00235B07" w:rsidRPr="00235B07" w:rsidRDefault="00235B07" w:rsidP="00235B07">
                        <w:pPr>
                          <w:spacing w:after="0" w:line="285" w:lineRule="atLeast"/>
                          <w:jc w:val="center"/>
                          <w:rPr>
                            <w:rFonts w:ascii="Verdana" w:eastAsia="Times New Roman" w:hAnsi="Verdana" w:cs="Times New Roman"/>
                            <w:sz w:val="20"/>
                            <w:szCs w:val="20"/>
                          </w:rPr>
                        </w:pPr>
                        <w:r w:rsidRPr="00235B07">
                          <w:rPr>
                            <w:rFonts w:ascii="Verdana" w:eastAsia="Times New Roman" w:hAnsi="Verdana" w:cs="Times New Roman"/>
                            <w:sz w:val="20"/>
                            <w:szCs w:val="20"/>
                          </w:rPr>
                          <w:t>•</w:t>
                        </w:r>
                      </w:p>
                    </w:tc>
                    <w:tc>
                      <w:tcPr>
                        <w:tcW w:w="0" w:type="auto"/>
                        <w:gridSpan w:val="2"/>
                        <w:hideMark/>
                      </w:tcPr>
                      <w:p w:rsidR="00235B07" w:rsidRPr="00235B07" w:rsidRDefault="00235B07" w:rsidP="00235B07">
                        <w:pPr>
                          <w:spacing w:after="0"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 xml:space="preserve">The behaviour of the heads of different security forces in this politicized security sector is determined by the objective of maintaining or maximizing power. Thus the majority of those actors </w:t>
                        </w:r>
                        <w:proofErr w:type="gramStart"/>
                        <w:r w:rsidRPr="00235B07">
                          <w:rPr>
                            <w:rFonts w:ascii="Verdana" w:eastAsia="Times New Roman" w:hAnsi="Verdana" w:cs="Times New Roman"/>
                            <w:sz w:val="20"/>
                            <w:szCs w:val="20"/>
                          </w:rPr>
                          <w:t>opposes</w:t>
                        </w:r>
                        <w:proofErr w:type="gramEnd"/>
                        <w:r w:rsidRPr="00235B07">
                          <w:rPr>
                            <w:rFonts w:ascii="Verdana" w:eastAsia="Times New Roman" w:hAnsi="Verdana" w:cs="Times New Roman"/>
                            <w:sz w:val="20"/>
                            <w:szCs w:val="20"/>
                          </w:rPr>
                          <w:t xml:space="preserve"> reform or consents reform only in so far as the reform measures do not threaten their power position, sometimes by framing their actions in a reform discourse in order not to reform.</w:t>
                        </w:r>
                      </w:p>
                    </w:tc>
                  </w:tr>
                </w:tbl>
                <w:p w:rsidR="00235B07" w:rsidRPr="00235B07" w:rsidRDefault="00235B07" w:rsidP="00235B07">
                  <w:pPr>
                    <w:spacing w:after="0" w:line="285" w:lineRule="atLeast"/>
                    <w:rPr>
                      <w:rFonts w:ascii="Verdana" w:eastAsia="Times New Roman" w:hAnsi="Verdana" w:cs="Times New Roman"/>
                      <w:sz w:val="20"/>
                      <w:szCs w:val="20"/>
                    </w:rPr>
                  </w:pPr>
                </w:p>
              </w:tc>
            </w:tr>
          </w:tbl>
          <w:p w:rsidR="00235B07" w:rsidRPr="00235B07" w:rsidRDefault="00235B07" w:rsidP="00235B07">
            <w:pPr>
              <w:numPr>
                <w:ilvl w:val="0"/>
                <w:numId w:val="3"/>
              </w:numPr>
              <w:spacing w:before="100" w:beforeAutospacing="1" w:after="100" w:afterAutospacing="1" w:line="285" w:lineRule="atLeast"/>
              <w:rPr>
                <w:rFonts w:ascii="Verdana" w:eastAsia="Times New Roman" w:hAnsi="Verdana" w:cs="Times New Roman"/>
                <w:sz w:val="20"/>
                <w:szCs w:val="20"/>
              </w:rPr>
            </w:pPr>
          </w:p>
        </w:tc>
      </w:tr>
      <w:tr w:rsidR="00235B07" w:rsidRPr="00235B07" w:rsidTr="00235B07">
        <w:trPr>
          <w:tblCellSpacing w:w="0" w:type="dxa"/>
        </w:trPr>
        <w:tc>
          <w:tcPr>
            <w:tcW w:w="0" w:type="auto"/>
            <w:gridSpan w:val="3"/>
            <w:shd w:val="clear" w:color="auto" w:fill="FFFFFF"/>
            <w:hideMark/>
          </w:tcPr>
          <w:p w:rsidR="00235B07" w:rsidRPr="00235B07" w:rsidRDefault="00235B07" w:rsidP="00235B07">
            <w:pPr>
              <w:spacing w:before="100" w:beforeAutospacing="1" w:after="100" w:afterAutospacing="1"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lastRenderedPageBreak/>
              <w:t> </w:t>
            </w:r>
          </w:p>
        </w:tc>
      </w:tr>
      <w:tr w:rsidR="00235B07" w:rsidRPr="00235B07" w:rsidTr="00235B07">
        <w:trPr>
          <w:tblCellSpacing w:w="0" w:type="dxa"/>
        </w:trPr>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075" cy="200025"/>
                  <wp:effectExtent l="0" t="0" r="9525" b="9525"/>
                  <wp:docPr id="5" name="תמונה 5" descr="http://146.185.164.77/passia.org/images/new/arrow-sliver2-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46.185.164.77/passia.org/images/new/arrow-sliver2-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Verdana" w:eastAsia="Times New Roman" w:hAnsi="Verdana" w:cs="Times New Roman"/>
                <w:b/>
                <w:bCs/>
                <w:i/>
                <w:iCs/>
                <w:sz w:val="20"/>
                <w:szCs w:val="20"/>
                <w:u w:val="single"/>
              </w:rPr>
              <w:t>The institutional dimension: </w:t>
            </w:r>
            <w:r w:rsidRPr="00235B07">
              <w:rPr>
                <w:rFonts w:ascii="Verdana" w:eastAsia="Times New Roman" w:hAnsi="Verdana" w:cs="Times New Roman"/>
                <w:sz w:val="20"/>
                <w:szCs w:val="20"/>
                <w:u w:val="single"/>
              </w:rPr>
              <w:br/>
            </w:r>
            <w:r w:rsidRPr="00235B07">
              <w:rPr>
                <w:rFonts w:ascii="Verdana" w:eastAsia="Times New Roman" w:hAnsi="Verdana" w:cs="Times New Roman"/>
                <w:sz w:val="20"/>
                <w:szCs w:val="20"/>
              </w:rPr>
              <w:t>SSR stipulates a clear functional differentiation between external and internal security agencies, a transparent legal basis, a unified command and control structure, and democratic accountability as well as a democratic ethos.</w:t>
            </w:r>
          </w:p>
        </w:tc>
      </w:tr>
      <w:tr w:rsidR="00235B07" w:rsidRPr="00235B07" w:rsidTr="00235B07">
        <w:trPr>
          <w:tblCellSpacing w:w="0" w:type="dxa"/>
        </w:trPr>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r>
      <w:tr w:rsidR="00235B07" w:rsidRPr="00235B07" w:rsidTr="00235B07">
        <w:trPr>
          <w:tblCellSpacing w:w="0" w:type="dxa"/>
        </w:trPr>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075" cy="200025"/>
                  <wp:effectExtent l="0" t="0" r="9525" b="9525"/>
                  <wp:docPr id="4" name="תמונה 4" descr="http://146.185.164.77/passia.org/images/new/arrow-sliver2-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46.185.164.77/passia.org/images/new/arrow-sliver2-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Verdana" w:eastAsia="Times New Roman" w:hAnsi="Verdana" w:cs="Times New Roman"/>
                <w:sz w:val="20"/>
                <w:szCs w:val="20"/>
                <w:u w:val="single"/>
              </w:rPr>
              <w:t>Proliferation of security orders in the context of the Oslo process:</w:t>
            </w:r>
          </w:p>
        </w:tc>
      </w:tr>
      <w:tr w:rsidR="00235B07" w:rsidRPr="00235B07" w:rsidTr="00235B07">
        <w:trPr>
          <w:tblCellSpacing w:w="0" w:type="dxa"/>
        </w:trPr>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before="100" w:beforeAutospacing="1" w:after="100" w:afterAutospacing="1"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w:t>
            </w:r>
            <w:proofErr w:type="gramStart"/>
            <w:r w:rsidRPr="00235B07">
              <w:rPr>
                <w:rFonts w:ascii="Verdana" w:eastAsia="Times New Roman" w:hAnsi="Verdana" w:cs="Times New Roman"/>
                <w:sz w:val="20"/>
                <w:szCs w:val="20"/>
              </w:rPr>
              <w:t>  The</w:t>
            </w:r>
            <w:proofErr w:type="gramEnd"/>
            <w:r w:rsidRPr="00235B07">
              <w:rPr>
                <w:rFonts w:ascii="Verdana" w:eastAsia="Times New Roman" w:hAnsi="Verdana" w:cs="Times New Roman"/>
                <w:sz w:val="20"/>
                <w:szCs w:val="20"/>
              </w:rPr>
              <w:t xml:space="preserve"> Palestinian security forces were founded with Israel 's consent and designed to provide for Israel 's security, i.e. by preventing political violence and countering internal strife in the Occupied Territories .</w:t>
            </w:r>
          </w:p>
          <w:p w:rsidR="00235B07" w:rsidRPr="00235B07" w:rsidRDefault="00235B07" w:rsidP="00235B07">
            <w:pPr>
              <w:spacing w:before="100" w:beforeAutospacing="1" w:after="100" w:afterAutospacing="1"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lastRenderedPageBreak/>
              <w:t>•  The current structure comprises at least nine agencies:</w:t>
            </w:r>
          </w:p>
          <w:p w:rsidR="00235B07" w:rsidRPr="00235B07" w:rsidRDefault="00235B07" w:rsidP="00235B07">
            <w:pPr>
              <w:spacing w:beforeAutospacing="1" w:after="100" w:afterAutospacing="1"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  Civil Police (Shurta Madaniyya)</w:t>
            </w:r>
            <w:r w:rsidRPr="00235B07">
              <w:rPr>
                <w:rFonts w:ascii="Verdana" w:eastAsia="Times New Roman" w:hAnsi="Verdana" w:cs="Times New Roman"/>
                <w:sz w:val="20"/>
                <w:szCs w:val="20"/>
              </w:rPr>
              <w:br/>
              <w:t>•  Preventive Security (Amn al-Wiqa'i)</w:t>
            </w:r>
            <w:r w:rsidRPr="00235B07">
              <w:rPr>
                <w:rFonts w:ascii="Verdana" w:eastAsia="Times New Roman" w:hAnsi="Verdana" w:cs="Times New Roman"/>
                <w:sz w:val="20"/>
                <w:szCs w:val="20"/>
              </w:rPr>
              <w:br/>
              <w:t>•  Civil Defense (Dafah al-Madani)</w:t>
            </w:r>
            <w:r w:rsidRPr="00235B07">
              <w:rPr>
                <w:rFonts w:ascii="Verdana" w:eastAsia="Times New Roman" w:hAnsi="Verdana" w:cs="Times New Roman"/>
                <w:sz w:val="20"/>
                <w:szCs w:val="20"/>
              </w:rPr>
              <w:br/>
              <w:t>•  General Intelligence (Mukhabarat al-Amma)</w:t>
            </w:r>
            <w:r w:rsidRPr="00235B07">
              <w:rPr>
                <w:rFonts w:ascii="Verdana" w:eastAsia="Times New Roman" w:hAnsi="Verdana" w:cs="Times New Roman"/>
                <w:sz w:val="20"/>
                <w:szCs w:val="20"/>
              </w:rPr>
              <w:br/>
              <w:t>•  National Security Force (Amn al-Watani)</w:t>
            </w:r>
            <w:r w:rsidRPr="00235B07">
              <w:rPr>
                <w:rFonts w:ascii="Verdana" w:eastAsia="Times New Roman" w:hAnsi="Verdana" w:cs="Times New Roman"/>
                <w:sz w:val="20"/>
                <w:szCs w:val="20"/>
              </w:rPr>
              <w:br/>
              <w:t>•  Military Intelligence (Istikhbarat al-Askarim)</w:t>
            </w:r>
            <w:r w:rsidRPr="00235B07">
              <w:rPr>
                <w:rFonts w:ascii="Verdana" w:eastAsia="Times New Roman" w:hAnsi="Verdana" w:cs="Times New Roman"/>
                <w:sz w:val="20"/>
                <w:szCs w:val="20"/>
              </w:rPr>
              <w:br/>
              <w:t>•  Border Police</w:t>
            </w:r>
            <w:r w:rsidRPr="00235B07">
              <w:rPr>
                <w:rFonts w:ascii="Verdana" w:eastAsia="Times New Roman" w:hAnsi="Verdana" w:cs="Times New Roman"/>
                <w:sz w:val="20"/>
                <w:szCs w:val="20"/>
              </w:rPr>
              <w:br/>
              <w:t>•  Presidential Security/Force 17 (Amn al-Ri'asa)</w:t>
            </w:r>
            <w:r w:rsidRPr="00235B07">
              <w:rPr>
                <w:rFonts w:ascii="Verdana" w:eastAsia="Times New Roman" w:hAnsi="Verdana" w:cs="Times New Roman"/>
                <w:sz w:val="20"/>
                <w:szCs w:val="20"/>
              </w:rPr>
              <w:br/>
              <w:t>•  Navy Police (Shurta Bahriyya).</w:t>
            </w:r>
          </w:p>
          <w:p w:rsidR="00235B07" w:rsidRPr="00235B07" w:rsidRDefault="00235B07" w:rsidP="00235B07">
            <w:pPr>
              <w:spacing w:before="100" w:beforeAutospacing="1" w:after="100" w:afterAutospacing="1"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w:t>
            </w:r>
            <w:proofErr w:type="gramStart"/>
            <w:r w:rsidRPr="00235B07">
              <w:rPr>
                <w:rFonts w:ascii="Verdana" w:eastAsia="Times New Roman" w:hAnsi="Verdana" w:cs="Times New Roman"/>
                <w:sz w:val="20"/>
                <w:szCs w:val="20"/>
              </w:rPr>
              <w:t>  Furthermore</w:t>
            </w:r>
            <w:proofErr w:type="gramEnd"/>
            <w:r w:rsidRPr="00235B07">
              <w:rPr>
                <w:rFonts w:ascii="Verdana" w:eastAsia="Times New Roman" w:hAnsi="Verdana" w:cs="Times New Roman"/>
                <w:sz w:val="20"/>
                <w:szCs w:val="20"/>
              </w:rPr>
              <w:t>, there are semi-independet security bodies such as the Rapid Deployment Special Police Unit (belonging to the Civil Police), the Military Police, and the Special Security Force (Amn al-Khas).</w:t>
            </w:r>
          </w:p>
          <w:p w:rsidR="00235B07" w:rsidRPr="00235B07" w:rsidRDefault="00235B07" w:rsidP="00235B07">
            <w:pPr>
              <w:spacing w:before="100" w:beforeAutospacing="1" w:after="100" w:afterAutospacing="1"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  A third category are armed factions outside the official security structure such as Kataeb Shuhada al-Aqsa and other groups functioning as local authorities (e.g. in Nablus and Jenin).</w:t>
            </w:r>
          </w:p>
          <w:p w:rsidR="00235B07" w:rsidRPr="00235B07" w:rsidRDefault="00235B07" w:rsidP="00235B07">
            <w:pPr>
              <w:spacing w:before="100" w:beforeAutospacing="1" w:after="100" w:afterAutospacing="1"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w:t>
            </w:r>
            <w:proofErr w:type="gramStart"/>
            <w:r w:rsidRPr="00235B07">
              <w:rPr>
                <w:rFonts w:ascii="Verdana" w:eastAsia="Times New Roman" w:hAnsi="Verdana" w:cs="Times New Roman"/>
                <w:sz w:val="20"/>
                <w:szCs w:val="20"/>
              </w:rPr>
              <w:t>  There</w:t>
            </w:r>
            <w:proofErr w:type="gramEnd"/>
            <w:r w:rsidRPr="00235B07">
              <w:rPr>
                <w:rFonts w:ascii="Verdana" w:eastAsia="Times New Roman" w:hAnsi="Verdana" w:cs="Times New Roman"/>
                <w:sz w:val="20"/>
                <w:szCs w:val="20"/>
              </w:rPr>
              <w:t xml:space="preserve"> is no clear differentiation between the different bodies and no functional description of their respective roles. As a result, different authorities overlap. For example, there exist four different intelligence agencies </w:t>
            </w:r>
            <w:proofErr w:type="gramStart"/>
            <w:r w:rsidRPr="00235B07">
              <w:rPr>
                <w:rFonts w:ascii="Verdana" w:eastAsia="Times New Roman" w:hAnsi="Verdana" w:cs="Times New Roman"/>
                <w:sz w:val="20"/>
                <w:szCs w:val="20"/>
              </w:rPr>
              <w:t>who</w:t>
            </w:r>
            <w:proofErr w:type="gramEnd"/>
            <w:r w:rsidRPr="00235B07">
              <w:rPr>
                <w:rFonts w:ascii="Verdana" w:eastAsia="Times New Roman" w:hAnsi="Verdana" w:cs="Times New Roman"/>
                <w:sz w:val="20"/>
                <w:szCs w:val="20"/>
              </w:rPr>
              <w:t xml:space="preserve"> do not have a specified and limited function. No one seems to know what they do except for competing against each other. This situation is furthermore exacerbated by personal animosities between the respective heads and the fact that they tend to use and run their agencies as personal fiefdoms.</w:t>
            </w:r>
          </w:p>
        </w:tc>
      </w:tr>
      <w:tr w:rsidR="00235B07" w:rsidRPr="00235B07" w:rsidTr="00235B07">
        <w:trPr>
          <w:tblCellSpacing w:w="0" w:type="dxa"/>
        </w:trPr>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lastRenderedPageBreak/>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r>
      <w:tr w:rsidR="00235B07" w:rsidRPr="00235B07" w:rsidTr="00235B07">
        <w:trPr>
          <w:tblCellSpacing w:w="0" w:type="dxa"/>
        </w:trPr>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075" cy="200025"/>
                  <wp:effectExtent l="0" t="0" r="9525" b="9525"/>
                  <wp:docPr id="3" name="תמונה 3" descr="http://146.185.164.77/passia.org/images/new/arrow-sliver2-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46.185.164.77/passia.org/images/new/arrow-sliver2-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Verdana" w:eastAsia="Times New Roman" w:hAnsi="Verdana" w:cs="Times New Roman"/>
                <w:sz w:val="20"/>
                <w:szCs w:val="20"/>
                <w:u w:val="single"/>
              </w:rPr>
              <w:t>Reform efforts:</w:t>
            </w:r>
          </w:p>
        </w:tc>
      </w:tr>
      <w:tr w:rsidR="00235B07" w:rsidRPr="00235B07" w:rsidTr="00235B07">
        <w:trPr>
          <w:tblCellSpacing w:w="0" w:type="dxa"/>
        </w:trPr>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26"/>
              <w:gridCol w:w="8092"/>
            </w:tblGrid>
            <w:tr w:rsidR="00235B07" w:rsidRPr="00235B07">
              <w:trPr>
                <w:tblCellSpacing w:w="0" w:type="dxa"/>
              </w:trPr>
              <w:tc>
                <w:tcPr>
                  <w:tcW w:w="250" w:type="pct"/>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Verdana" w:eastAsia="Times New Roman" w:hAnsi="Verdana" w:cs="Times New Roman"/>
                      <w:sz w:val="20"/>
                      <w:szCs w:val="20"/>
                    </w:rPr>
                    <w:t>•</w:t>
                  </w:r>
                </w:p>
              </w:tc>
              <w:tc>
                <w:tcPr>
                  <w:tcW w:w="4750" w:type="pct"/>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Verdana" w:eastAsia="Times New Roman" w:hAnsi="Verdana" w:cs="Times New Roman"/>
                      <w:sz w:val="20"/>
                      <w:szCs w:val="20"/>
                    </w:rPr>
                    <w:t>Reform efforts are particularly difficult because they are undertaken against the backdrop of the aforementioned political context and the destruction of Palestinian security capacities by Isreal.</w:t>
                  </w:r>
                </w:p>
              </w:tc>
            </w:tr>
            <w:tr w:rsidR="00235B07" w:rsidRPr="00235B07">
              <w:trPr>
                <w:tblCellSpacing w:w="0" w:type="dxa"/>
              </w:trPr>
              <w:tc>
                <w:tcPr>
                  <w:tcW w:w="0" w:type="auto"/>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r>
            <w:tr w:rsidR="00235B07" w:rsidRPr="00235B07">
              <w:trPr>
                <w:tblCellSpacing w:w="0" w:type="dxa"/>
              </w:trPr>
              <w:tc>
                <w:tcPr>
                  <w:tcW w:w="0" w:type="auto"/>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Verdana" w:eastAsia="Times New Roman" w:hAnsi="Verdana" w:cs="Times New Roman"/>
                      <w:sz w:val="20"/>
                      <w:szCs w:val="20"/>
                    </w:rPr>
                    <w:t>•</w:t>
                  </w:r>
                </w:p>
              </w:tc>
              <w:tc>
                <w:tcPr>
                  <w:tcW w:w="0" w:type="auto"/>
                  <w:hideMark/>
                </w:tcPr>
                <w:p w:rsidR="00235B07" w:rsidRPr="00235B07" w:rsidRDefault="00235B07" w:rsidP="00235B07">
                  <w:pPr>
                    <w:spacing w:before="100" w:beforeAutospacing="1" w:after="100" w:afterAutospacing="1"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The institutional arrangement agreed upon during the reform debate in 2002 offers basically a reasonable three-pillar structure consisting of:</w:t>
                  </w:r>
                </w:p>
                <w:p w:rsidR="00235B07" w:rsidRPr="00235B07" w:rsidRDefault="00235B07" w:rsidP="00235B07">
                  <w:pPr>
                    <w:numPr>
                      <w:ilvl w:val="0"/>
                      <w:numId w:val="4"/>
                    </w:numPr>
                    <w:spacing w:before="100" w:beforeAutospacing="1" w:after="100" w:afterAutospacing="1"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 xml:space="preserve">The internal security bodies (Civil Police, Preventive Security, </w:t>
                  </w:r>
                  <w:proofErr w:type="gramStart"/>
                  <w:r w:rsidRPr="00235B07">
                    <w:rPr>
                      <w:rFonts w:ascii="Verdana" w:eastAsia="Times New Roman" w:hAnsi="Verdana" w:cs="Times New Roman"/>
                      <w:sz w:val="20"/>
                      <w:szCs w:val="20"/>
                    </w:rPr>
                    <w:t>Civil</w:t>
                  </w:r>
                  <w:proofErr w:type="gramEnd"/>
                  <w:r w:rsidRPr="00235B07">
                    <w:rPr>
                      <w:rFonts w:ascii="Verdana" w:eastAsia="Times New Roman" w:hAnsi="Verdana" w:cs="Times New Roman"/>
                      <w:sz w:val="20"/>
                      <w:szCs w:val="20"/>
                    </w:rPr>
                    <w:t xml:space="preserve"> Defence) under the authority of the Ministry of Interior.</w:t>
                  </w:r>
                </w:p>
                <w:p w:rsidR="00235B07" w:rsidRPr="00235B07" w:rsidRDefault="00235B07" w:rsidP="00235B07">
                  <w:pPr>
                    <w:numPr>
                      <w:ilvl w:val="0"/>
                      <w:numId w:val="4"/>
                    </w:numPr>
                    <w:spacing w:before="100" w:beforeAutospacing="1" w:after="100" w:afterAutospacing="1"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The General Intelligence under the control of the National Securiy Council (NSC).</w:t>
                  </w:r>
                </w:p>
                <w:p w:rsidR="00235B07" w:rsidRPr="00235B07" w:rsidRDefault="00235B07" w:rsidP="00235B07">
                  <w:pPr>
                    <w:numPr>
                      <w:ilvl w:val="0"/>
                      <w:numId w:val="4"/>
                    </w:numPr>
                    <w:spacing w:before="100" w:beforeAutospacing="1" w:after="100" w:afterAutospacing="1"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The National Security Forces (NSF) – the “proto-army” – including National Security, Force 17, Military Intelligence, Border Police, and Navy Police also under control of the NSC.</w:t>
                  </w:r>
                </w:p>
              </w:tc>
            </w:tr>
            <w:tr w:rsidR="00235B07" w:rsidRPr="00235B07">
              <w:trPr>
                <w:tblCellSpacing w:w="0" w:type="dxa"/>
              </w:trPr>
              <w:tc>
                <w:tcPr>
                  <w:tcW w:w="0" w:type="auto"/>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r>
            <w:tr w:rsidR="00235B07" w:rsidRPr="00235B07">
              <w:trPr>
                <w:tblCellSpacing w:w="0" w:type="dxa"/>
              </w:trPr>
              <w:tc>
                <w:tcPr>
                  <w:tcW w:w="0" w:type="auto"/>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Verdana" w:eastAsia="Times New Roman" w:hAnsi="Verdana" w:cs="Times New Roman"/>
                      <w:sz w:val="20"/>
                      <w:szCs w:val="20"/>
                    </w:rPr>
                    <w:t>•</w:t>
                  </w:r>
                </w:p>
              </w:tc>
              <w:tc>
                <w:tcPr>
                  <w:tcW w:w="0" w:type="auto"/>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Verdana" w:eastAsia="Times New Roman" w:hAnsi="Verdana" w:cs="Times New Roman"/>
                      <w:sz w:val="20"/>
                      <w:szCs w:val="20"/>
                    </w:rPr>
                    <w:t xml:space="preserve">However, until present this structure has not transformed into practice. </w:t>
                  </w:r>
                  <w:r w:rsidRPr="00235B07">
                    <w:rPr>
                      <w:rFonts w:ascii="Verdana" w:eastAsia="Times New Roman" w:hAnsi="Verdana" w:cs="Times New Roman"/>
                      <w:sz w:val="20"/>
                      <w:szCs w:val="20"/>
                    </w:rPr>
                    <w:lastRenderedPageBreak/>
                    <w:t>Although Civil Police, Preventive Security and Civil Defence are unified administratively under the Ministry of Interior, in reality they still directly report to and receive their orders from the president. Also, the assignment of the different “proto-army” components to a unified NSF command exists only on paper.</w:t>
                  </w:r>
                </w:p>
              </w:tc>
            </w:tr>
            <w:tr w:rsidR="00235B07" w:rsidRPr="00235B07">
              <w:trPr>
                <w:tblCellSpacing w:w="0" w:type="dxa"/>
              </w:trPr>
              <w:tc>
                <w:tcPr>
                  <w:tcW w:w="0" w:type="auto"/>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lastRenderedPageBreak/>
                    <w:t> </w:t>
                  </w:r>
                </w:p>
              </w:tc>
              <w:tc>
                <w:tcPr>
                  <w:tcW w:w="0" w:type="auto"/>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r>
            <w:tr w:rsidR="00235B07" w:rsidRPr="00235B07">
              <w:trPr>
                <w:tblCellSpacing w:w="0" w:type="dxa"/>
              </w:trPr>
              <w:tc>
                <w:tcPr>
                  <w:tcW w:w="0" w:type="auto"/>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Verdana" w:eastAsia="Times New Roman" w:hAnsi="Verdana" w:cs="Times New Roman"/>
                      <w:sz w:val="20"/>
                      <w:szCs w:val="20"/>
                    </w:rPr>
                    <w:t>•</w:t>
                  </w:r>
                </w:p>
              </w:tc>
              <w:tc>
                <w:tcPr>
                  <w:tcW w:w="0" w:type="auto"/>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Verdana" w:eastAsia="Times New Roman" w:hAnsi="Verdana" w:cs="Times New Roman"/>
                      <w:sz w:val="20"/>
                      <w:szCs w:val="20"/>
                    </w:rPr>
                    <w:t>Further reform steps to be made should focus on three areas:</w:t>
                  </w:r>
                </w:p>
              </w:tc>
            </w:tr>
            <w:tr w:rsidR="00235B07" w:rsidRPr="00235B07">
              <w:trPr>
                <w:tblCellSpacing w:w="0" w:type="dxa"/>
              </w:trPr>
              <w:tc>
                <w:tcPr>
                  <w:tcW w:w="0" w:type="auto"/>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Verdana" w:eastAsia="Times New Roman" w:hAnsi="Verdana" w:cs="Times New Roman"/>
                      <w:sz w:val="20"/>
                      <w:szCs w:val="20"/>
                    </w:rPr>
                    <w:t>•  Political control:</w:t>
                  </w:r>
                </w:p>
              </w:tc>
            </w:tr>
            <w:tr w:rsidR="00235B07" w:rsidRPr="00235B07">
              <w:trPr>
                <w:tblCellSpacing w:w="0" w:type="dxa"/>
              </w:trPr>
              <w:tc>
                <w:tcPr>
                  <w:tcW w:w="0" w:type="auto"/>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hideMark/>
                </w:tcPr>
                <w:p w:rsidR="00235B07" w:rsidRPr="00235B07" w:rsidRDefault="00235B07" w:rsidP="00235B07">
                  <w:pPr>
                    <w:numPr>
                      <w:ilvl w:val="0"/>
                      <w:numId w:val="5"/>
                    </w:numPr>
                    <w:spacing w:before="100" w:beforeAutospacing="1" w:after="100" w:afterAutospacing="1"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Quick implementation of the reform steps agreed upon in 2002, in particular full political control by the Ministry of Interior over Civil Police, Preventive Security, and Civil Defence.</w:t>
                  </w:r>
                </w:p>
                <w:p w:rsidR="00235B07" w:rsidRPr="00235B07" w:rsidRDefault="00235B07" w:rsidP="00235B07">
                  <w:pPr>
                    <w:numPr>
                      <w:ilvl w:val="0"/>
                      <w:numId w:val="5"/>
                    </w:numPr>
                    <w:spacing w:before="100" w:beforeAutospacing="1" w:after="100" w:afterAutospacing="1"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Formulation of a – even preliminar – Palestinian national security doctrine that provides the conceptual basis for the future Palestinian security sector.</w:t>
                  </w:r>
                </w:p>
                <w:p w:rsidR="00235B07" w:rsidRPr="00235B07" w:rsidRDefault="00235B07" w:rsidP="00235B07">
                  <w:pPr>
                    <w:numPr>
                      <w:ilvl w:val="0"/>
                      <w:numId w:val="5"/>
                    </w:numPr>
                    <w:spacing w:before="100" w:beforeAutospacing="1" w:after="100" w:afterAutospacing="1"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 xml:space="preserve">Extension of ministerial control and Palestinian Legislative Council (PLC) oversight to all security bodies with the aim of their de-politicalisation. This should proceed on the basis of a clear functional differentiation between the different agencies and legal provisions that specify their role, responsibilities, </w:t>
                  </w:r>
                  <w:proofErr w:type="gramStart"/>
                  <w:r w:rsidRPr="00235B07">
                    <w:rPr>
                      <w:rFonts w:ascii="Verdana" w:eastAsia="Times New Roman" w:hAnsi="Verdana" w:cs="Times New Roman"/>
                      <w:sz w:val="20"/>
                      <w:szCs w:val="20"/>
                    </w:rPr>
                    <w:t>structures</w:t>
                  </w:r>
                  <w:proofErr w:type="gramEnd"/>
                  <w:r w:rsidRPr="00235B07">
                    <w:rPr>
                      <w:rFonts w:ascii="Verdana" w:eastAsia="Times New Roman" w:hAnsi="Verdana" w:cs="Times New Roman"/>
                      <w:sz w:val="20"/>
                      <w:szCs w:val="20"/>
                    </w:rPr>
                    <w:t xml:space="preserve"> (in particular between external and internal bodies).</w:t>
                  </w:r>
                </w:p>
                <w:p w:rsidR="00235B07" w:rsidRPr="00235B07" w:rsidRDefault="00235B07" w:rsidP="00235B07">
                  <w:pPr>
                    <w:numPr>
                      <w:ilvl w:val="0"/>
                      <w:numId w:val="5"/>
                    </w:numPr>
                    <w:spacing w:before="100" w:beforeAutospacing="1" w:after="100" w:afterAutospacing="1"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Empowerment of the PLC Interior Committee to exercise efficiently its oversight function and strengthening of the authorities of the official PA ombudsman, the PICCR (Palestinian Independent Commission for Citizens' Rights).</w:t>
                  </w:r>
                </w:p>
                <w:p w:rsidR="00235B07" w:rsidRPr="00235B07" w:rsidRDefault="00235B07" w:rsidP="00235B07">
                  <w:pPr>
                    <w:numPr>
                      <w:ilvl w:val="0"/>
                      <w:numId w:val="5"/>
                    </w:numPr>
                    <w:spacing w:before="100" w:beforeAutospacing="1" w:after="100" w:afterAutospacing="1"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Replacement of the illegal NSC with a supreme command and control gremium on a clear juridical basis.</w:t>
                  </w:r>
                </w:p>
                <w:p w:rsidR="00235B07" w:rsidRPr="00235B07" w:rsidRDefault="00235B07" w:rsidP="00235B07">
                  <w:pPr>
                    <w:numPr>
                      <w:ilvl w:val="0"/>
                      <w:numId w:val="5"/>
                    </w:numPr>
                    <w:spacing w:before="100" w:beforeAutospacing="1" w:after="100" w:afterAutospacing="1"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Limitation of the tenures of the heads of security forces to a specific period (4 years).</w:t>
                  </w:r>
                </w:p>
              </w:tc>
            </w:tr>
            <w:tr w:rsidR="00235B07" w:rsidRPr="00235B07">
              <w:trPr>
                <w:tblCellSpacing w:w="0" w:type="dxa"/>
              </w:trPr>
              <w:tc>
                <w:tcPr>
                  <w:tcW w:w="0" w:type="auto"/>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r>
            <w:tr w:rsidR="00235B07" w:rsidRPr="00235B07">
              <w:trPr>
                <w:tblCellSpacing w:w="0" w:type="dxa"/>
              </w:trPr>
              <w:tc>
                <w:tcPr>
                  <w:tcW w:w="0" w:type="auto"/>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Verdana" w:eastAsia="Times New Roman" w:hAnsi="Verdana" w:cs="Times New Roman"/>
                      <w:sz w:val="20"/>
                      <w:szCs w:val="20"/>
                    </w:rPr>
                    <w:t>•  Structure of the security sector:</w:t>
                  </w:r>
                </w:p>
              </w:tc>
            </w:tr>
            <w:tr w:rsidR="00235B07" w:rsidRPr="00235B07">
              <w:trPr>
                <w:tblCellSpacing w:w="0" w:type="dxa"/>
              </w:trPr>
              <w:tc>
                <w:tcPr>
                  <w:tcW w:w="0" w:type="auto"/>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hideMark/>
                </w:tcPr>
                <w:p w:rsidR="00235B07" w:rsidRPr="00235B07" w:rsidRDefault="00235B07" w:rsidP="00235B07">
                  <w:pPr>
                    <w:numPr>
                      <w:ilvl w:val="0"/>
                      <w:numId w:val="6"/>
                    </w:numPr>
                    <w:spacing w:before="100" w:beforeAutospacing="1" w:after="100" w:afterAutospacing="1"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Right sizing of the different forces and reduction of security personnel (currently about 45 000) according to the force limits agreed on in a national security doctrine and specified in respective planning directives.</w:t>
                  </w:r>
                </w:p>
                <w:p w:rsidR="00235B07" w:rsidRPr="00235B07" w:rsidRDefault="00235B07" w:rsidP="00235B07">
                  <w:pPr>
                    <w:numPr>
                      <w:ilvl w:val="0"/>
                      <w:numId w:val="6"/>
                    </w:numPr>
                    <w:spacing w:before="100" w:beforeAutospacing="1" w:after="100" w:afterAutospacing="1"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Further restructuring of forces such as the integration of the Military Intelligence in the NSF, the assignment of the Border Police to the Ministry of Interior, and the disbanding of the Special Security Force.</w:t>
                  </w:r>
                </w:p>
              </w:tc>
            </w:tr>
            <w:tr w:rsidR="00235B07" w:rsidRPr="00235B07">
              <w:trPr>
                <w:tblCellSpacing w:w="0" w:type="dxa"/>
              </w:trPr>
              <w:tc>
                <w:tcPr>
                  <w:tcW w:w="0" w:type="auto"/>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r>
            <w:tr w:rsidR="00235B07" w:rsidRPr="00235B07">
              <w:trPr>
                <w:tblCellSpacing w:w="0" w:type="dxa"/>
              </w:trPr>
              <w:tc>
                <w:tcPr>
                  <w:tcW w:w="0" w:type="auto"/>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Verdana" w:eastAsia="Times New Roman" w:hAnsi="Verdana" w:cs="Times New Roman"/>
                      <w:sz w:val="20"/>
                      <w:szCs w:val="20"/>
                    </w:rPr>
                    <w:t>•  “Culture” of the security sector:</w:t>
                  </w:r>
                </w:p>
              </w:tc>
            </w:tr>
            <w:tr w:rsidR="00235B07" w:rsidRPr="00235B07">
              <w:trPr>
                <w:tblCellSpacing w:w="0" w:type="dxa"/>
              </w:trPr>
              <w:tc>
                <w:tcPr>
                  <w:tcW w:w="0" w:type="auto"/>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hideMark/>
                </w:tcPr>
                <w:p w:rsidR="00235B07" w:rsidRPr="00235B07" w:rsidRDefault="00235B07" w:rsidP="00235B07">
                  <w:pPr>
                    <w:numPr>
                      <w:ilvl w:val="0"/>
                      <w:numId w:val="7"/>
                    </w:numPr>
                    <w:spacing w:before="100" w:beforeAutospacing="1" w:after="100" w:afterAutospacing="1"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Re-orientation of the tradition of the security sector against the backdrop of human rights abuses and corruption in order to (re-)gain the trust and respect of the Palestinian citizenry and to guarantee their safety and security, especially with regard to internal bodies such as Civil Police and Preventive Security.</w:t>
                  </w:r>
                </w:p>
                <w:p w:rsidR="00235B07" w:rsidRPr="00235B07" w:rsidRDefault="00235B07" w:rsidP="00235B07">
                  <w:pPr>
                    <w:numPr>
                      <w:ilvl w:val="0"/>
                      <w:numId w:val="7"/>
                    </w:numPr>
                    <w:spacing w:before="100" w:beforeAutospacing="1" w:after="100" w:afterAutospacing="1"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 xml:space="preserve">Limitation of kinship identity manipulation – i.e family and tribal relation </w:t>
                  </w:r>
                  <w:r w:rsidRPr="00235B07">
                    <w:rPr>
                      <w:rFonts w:ascii="Verdana" w:eastAsia="Times New Roman" w:hAnsi="Verdana" w:cs="Times New Roman"/>
                      <w:sz w:val="20"/>
                      <w:szCs w:val="20"/>
                    </w:rPr>
                    <w:lastRenderedPageBreak/>
                    <w:t>effects -, especially in closure-affected areas such as Nablus and Jenin where local authorities have emerged and the rotation of security personnel between different localities is not possible anymore.</w:t>
                  </w:r>
                </w:p>
              </w:tc>
            </w:tr>
          </w:tbl>
          <w:p w:rsidR="00235B07" w:rsidRPr="00235B07" w:rsidRDefault="00235B07" w:rsidP="00235B07">
            <w:pPr>
              <w:spacing w:before="100" w:beforeAutospacing="1" w:after="100" w:afterAutospacing="1"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lastRenderedPageBreak/>
              <w:t> </w:t>
            </w:r>
          </w:p>
        </w:tc>
      </w:tr>
      <w:tr w:rsidR="00235B07" w:rsidRPr="00235B07" w:rsidTr="00235B07">
        <w:trPr>
          <w:tblCellSpacing w:w="0" w:type="dxa"/>
        </w:trPr>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lastRenderedPageBreak/>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075" cy="200025"/>
                  <wp:effectExtent l="0" t="0" r="9525" b="9525"/>
                  <wp:docPr id="2" name="תמונה 2" descr="http://146.185.164.77/passia.org/images/new/arrow-sliver2-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46.185.164.77/passia.org/images/new/arrow-sliver2-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Verdana" w:eastAsia="Times New Roman" w:hAnsi="Verdana" w:cs="Times New Roman"/>
                <w:b/>
                <w:bCs/>
                <w:i/>
                <w:iCs/>
                <w:sz w:val="20"/>
                <w:szCs w:val="20"/>
                <w:u w:val="single"/>
              </w:rPr>
              <w:t>The economic dimension:</w:t>
            </w:r>
          </w:p>
        </w:tc>
      </w:tr>
      <w:tr w:rsidR="00235B07" w:rsidRPr="00235B07" w:rsidTr="00235B07">
        <w:trPr>
          <w:tblCellSpacing w:w="0" w:type="dxa"/>
        </w:trPr>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Verdana" w:eastAsia="Times New Roman" w:hAnsi="Verdana" w:cs="Times New Roman"/>
                <w:sz w:val="20"/>
                <w:szCs w:val="20"/>
              </w:rPr>
              <w:t>The SSR precept refers to efficient consumption of resources and revenue collection and effective and transparent accounting, financing, and budgeting.</w:t>
            </w:r>
          </w:p>
        </w:tc>
      </w:tr>
      <w:tr w:rsidR="00235B07" w:rsidRPr="00235B07" w:rsidTr="00235B07">
        <w:trPr>
          <w:tblCellSpacing w:w="0" w:type="dxa"/>
        </w:trPr>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Verdana" w:eastAsia="Times New Roman" w:hAnsi="Verdana" w:cs="Times New Roman"/>
                <w:sz w:val="20"/>
                <w:szCs w:val="20"/>
                <w:u w:val="single"/>
              </w:rPr>
              <w:t>Palestine:</w:t>
            </w:r>
          </w:p>
        </w:tc>
      </w:tr>
      <w:tr w:rsidR="00235B07" w:rsidRPr="00235B07" w:rsidTr="00235B07">
        <w:trPr>
          <w:tblCellSpacing w:w="0" w:type="dxa"/>
        </w:trPr>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numPr>
                <w:ilvl w:val="0"/>
                <w:numId w:val="8"/>
              </w:numPr>
              <w:spacing w:before="100" w:beforeAutospacing="1" w:after="100" w:afterAutospacing="1"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A first step has been made by the introduction of a payroll system whereby security personnel is paid through bank accounts.</w:t>
            </w:r>
          </w:p>
          <w:p w:rsidR="00235B07" w:rsidRPr="00235B07" w:rsidRDefault="00235B07" w:rsidP="00235B07">
            <w:pPr>
              <w:numPr>
                <w:ilvl w:val="0"/>
                <w:numId w:val="8"/>
              </w:numPr>
              <w:spacing w:before="100" w:beforeAutospacing="1" w:after="100" w:afterAutospacing="1" w:line="285" w:lineRule="atLeast"/>
              <w:rPr>
                <w:rFonts w:ascii="Verdana" w:eastAsia="Times New Roman" w:hAnsi="Verdana" w:cs="Times New Roman"/>
                <w:sz w:val="20"/>
                <w:szCs w:val="20"/>
              </w:rPr>
            </w:pPr>
            <w:r w:rsidRPr="00235B07">
              <w:rPr>
                <w:rFonts w:ascii="Verdana" w:eastAsia="Times New Roman" w:hAnsi="Verdana" w:cs="Times New Roman"/>
                <w:sz w:val="20"/>
                <w:szCs w:val="20"/>
              </w:rPr>
              <w:t>Further steps should include the accountability of resources consumption to the PLC Budget Committee and the prohibition of heads of security forces to pay higher salaries from their private funds.</w:t>
            </w:r>
          </w:p>
        </w:tc>
      </w:tr>
      <w:tr w:rsidR="00235B07" w:rsidRPr="00235B07" w:rsidTr="00235B07">
        <w:trPr>
          <w:tblCellSpacing w:w="0" w:type="dxa"/>
        </w:trPr>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r>
      <w:tr w:rsidR="00235B07" w:rsidRPr="00235B07" w:rsidTr="00235B07">
        <w:trPr>
          <w:tblCellSpacing w:w="0" w:type="dxa"/>
        </w:trPr>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075" cy="200025"/>
                  <wp:effectExtent l="0" t="0" r="9525" b="9525"/>
                  <wp:docPr id="1" name="תמונה 1" descr="http://146.185.164.77/passia.org/images/new/arrow-sliver2-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46.185.164.77/passia.org/images/new/arrow-sliver2-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Verdana" w:eastAsia="Times New Roman" w:hAnsi="Verdana" w:cs="Times New Roman"/>
                <w:b/>
                <w:bCs/>
                <w:i/>
                <w:iCs/>
                <w:sz w:val="20"/>
                <w:szCs w:val="20"/>
                <w:u w:val="single"/>
              </w:rPr>
              <w:t>The societal dimension:</w:t>
            </w:r>
          </w:p>
        </w:tc>
      </w:tr>
      <w:tr w:rsidR="00235B07" w:rsidRPr="00235B07" w:rsidTr="00235B07">
        <w:trPr>
          <w:tblCellSpacing w:w="0" w:type="dxa"/>
        </w:trPr>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Verdana" w:eastAsia="Times New Roman" w:hAnsi="Verdana" w:cs="Times New Roman"/>
                <w:sz w:val="20"/>
                <w:szCs w:val="20"/>
              </w:rPr>
              <w:t>The SSR precept calls for an enhanced role of civil society, i.e. NGOs, independent media, and research/advocacy institutions, in order to provide for checks and balances.</w:t>
            </w:r>
          </w:p>
        </w:tc>
      </w:tr>
      <w:tr w:rsidR="00235B07" w:rsidRPr="00235B07" w:rsidTr="00235B07">
        <w:trPr>
          <w:tblCellSpacing w:w="0" w:type="dxa"/>
        </w:trPr>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Verdana" w:eastAsia="Times New Roman" w:hAnsi="Verdana" w:cs="Times New Roman"/>
                <w:sz w:val="20"/>
                <w:szCs w:val="20"/>
                <w:u w:val="single"/>
              </w:rPr>
              <w:t>Palestine:</w:t>
            </w:r>
          </w:p>
        </w:tc>
      </w:tr>
      <w:tr w:rsidR="00235B07" w:rsidRPr="00235B07" w:rsidTr="00235B07">
        <w:trPr>
          <w:tblCellSpacing w:w="0" w:type="dxa"/>
        </w:trPr>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spacing w:after="0" w:line="240" w:lineRule="auto"/>
              <w:rPr>
                <w:rFonts w:ascii="Times New Roman" w:eastAsia="Times New Roman" w:hAnsi="Times New Roman" w:cs="Times New Roman"/>
                <w:sz w:val="24"/>
                <w:szCs w:val="24"/>
              </w:rPr>
            </w:pPr>
            <w:r w:rsidRPr="00235B07">
              <w:rPr>
                <w:rFonts w:ascii="Times New Roman" w:eastAsia="Times New Roman" w:hAnsi="Times New Roman" w:cs="Times New Roman"/>
                <w:sz w:val="24"/>
                <w:szCs w:val="24"/>
              </w:rPr>
              <w:t> </w:t>
            </w:r>
          </w:p>
        </w:tc>
        <w:tc>
          <w:tcPr>
            <w:tcW w:w="0" w:type="auto"/>
            <w:shd w:val="clear" w:color="auto" w:fill="FFFFFF"/>
            <w:hideMark/>
          </w:tcPr>
          <w:p w:rsidR="00235B07" w:rsidRPr="00235B07" w:rsidRDefault="00235B07" w:rsidP="00235B0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35B07">
              <w:rPr>
                <w:rFonts w:ascii="Verdana" w:eastAsia="Times New Roman" w:hAnsi="Verdana" w:cs="Times New Roman"/>
                <w:sz w:val="20"/>
                <w:szCs w:val="20"/>
              </w:rPr>
              <w:t>There is an urgent need of involving the Palestinian civil society in security matters, both through the strengthening of independent auditing bodies such as the PICCR, Al Haq etc., and the promotion of a public debate on content, meaning and scope of “Palestinian security”.</w:t>
            </w:r>
          </w:p>
        </w:tc>
      </w:tr>
    </w:tbl>
    <w:p w:rsidR="005314DB" w:rsidRDefault="005314DB">
      <w:bookmarkStart w:id="0" w:name="_GoBack"/>
      <w:bookmarkEnd w:id="0"/>
    </w:p>
    <w:sectPr w:rsidR="00531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5118D"/>
    <w:multiLevelType w:val="multilevel"/>
    <w:tmpl w:val="0C42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3B4513"/>
    <w:multiLevelType w:val="multilevel"/>
    <w:tmpl w:val="730C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9114A"/>
    <w:multiLevelType w:val="multilevel"/>
    <w:tmpl w:val="CC78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5F7E03"/>
    <w:multiLevelType w:val="multilevel"/>
    <w:tmpl w:val="3BF2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7C354B"/>
    <w:multiLevelType w:val="multilevel"/>
    <w:tmpl w:val="7D3C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F4676B"/>
    <w:multiLevelType w:val="multilevel"/>
    <w:tmpl w:val="9308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7343E6"/>
    <w:multiLevelType w:val="multilevel"/>
    <w:tmpl w:val="020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074C59"/>
    <w:multiLevelType w:val="multilevel"/>
    <w:tmpl w:val="7DF2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C20045"/>
    <w:multiLevelType w:val="multilevel"/>
    <w:tmpl w:val="0E0C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7"/>
  </w:num>
  <w:num w:numId="5">
    <w:abstractNumId w:val="2"/>
  </w:num>
  <w:num w:numId="6">
    <w:abstractNumId w:val="5"/>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07"/>
    <w:rsid w:val="00235B07"/>
    <w:rsid w:val="005314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35B07"/>
    <w:rPr>
      <w:i/>
      <w:iCs/>
    </w:rPr>
  </w:style>
  <w:style w:type="paragraph" w:customStyle="1" w:styleId="style23">
    <w:name w:val="style23"/>
    <w:basedOn w:val="a"/>
    <w:rsid w:val="00235B0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35B07"/>
    <w:rPr>
      <w:b/>
      <w:bCs/>
    </w:rPr>
  </w:style>
  <w:style w:type="character" w:customStyle="1" w:styleId="style65">
    <w:name w:val="style65"/>
    <w:basedOn w:val="a0"/>
    <w:rsid w:val="00235B07"/>
  </w:style>
  <w:style w:type="character" w:customStyle="1" w:styleId="style231">
    <w:name w:val="style231"/>
    <w:basedOn w:val="a0"/>
    <w:rsid w:val="00235B07"/>
  </w:style>
  <w:style w:type="character" w:customStyle="1" w:styleId="style67">
    <w:name w:val="style67"/>
    <w:basedOn w:val="a0"/>
    <w:rsid w:val="00235B07"/>
  </w:style>
  <w:style w:type="paragraph" w:styleId="NormalWeb">
    <w:name w:val="Normal (Web)"/>
    <w:basedOn w:val="a"/>
    <w:uiPriority w:val="99"/>
    <w:unhideWhenUsed/>
    <w:rsid w:val="00235B0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35B07"/>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235B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35B07"/>
    <w:rPr>
      <w:i/>
      <w:iCs/>
    </w:rPr>
  </w:style>
  <w:style w:type="paragraph" w:customStyle="1" w:styleId="style23">
    <w:name w:val="style23"/>
    <w:basedOn w:val="a"/>
    <w:rsid w:val="00235B0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35B07"/>
    <w:rPr>
      <w:b/>
      <w:bCs/>
    </w:rPr>
  </w:style>
  <w:style w:type="character" w:customStyle="1" w:styleId="style65">
    <w:name w:val="style65"/>
    <w:basedOn w:val="a0"/>
    <w:rsid w:val="00235B07"/>
  </w:style>
  <w:style w:type="character" w:customStyle="1" w:styleId="style231">
    <w:name w:val="style231"/>
    <w:basedOn w:val="a0"/>
    <w:rsid w:val="00235B07"/>
  </w:style>
  <w:style w:type="character" w:customStyle="1" w:styleId="style67">
    <w:name w:val="style67"/>
    <w:basedOn w:val="a0"/>
    <w:rsid w:val="00235B07"/>
  </w:style>
  <w:style w:type="paragraph" w:styleId="NormalWeb">
    <w:name w:val="Normal (Web)"/>
    <w:basedOn w:val="a"/>
    <w:uiPriority w:val="99"/>
    <w:unhideWhenUsed/>
    <w:rsid w:val="00235B0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35B07"/>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235B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727177">
      <w:bodyDiv w:val="1"/>
      <w:marLeft w:val="0"/>
      <w:marRight w:val="0"/>
      <w:marTop w:val="0"/>
      <w:marBottom w:val="0"/>
      <w:divBdr>
        <w:top w:val="none" w:sz="0" w:space="0" w:color="auto"/>
        <w:left w:val="none" w:sz="0" w:space="0" w:color="auto"/>
        <w:bottom w:val="none" w:sz="0" w:space="0" w:color="auto"/>
        <w:right w:val="none" w:sz="0" w:space="0" w:color="auto"/>
      </w:divBdr>
      <w:divsChild>
        <w:div w:id="1966807392">
          <w:marLeft w:val="0"/>
          <w:marRight w:val="0"/>
          <w:marTop w:val="0"/>
          <w:marBottom w:val="0"/>
          <w:divBdr>
            <w:top w:val="none" w:sz="0" w:space="0" w:color="auto"/>
            <w:left w:val="none" w:sz="0" w:space="0" w:color="auto"/>
            <w:bottom w:val="none" w:sz="0" w:space="0" w:color="auto"/>
            <w:right w:val="none" w:sz="0" w:space="0" w:color="auto"/>
          </w:divBdr>
        </w:div>
        <w:div w:id="805584418">
          <w:marLeft w:val="0"/>
          <w:marRight w:val="0"/>
          <w:marTop w:val="0"/>
          <w:marBottom w:val="0"/>
          <w:divBdr>
            <w:top w:val="none" w:sz="0" w:space="0" w:color="auto"/>
            <w:left w:val="none" w:sz="0" w:space="0" w:color="auto"/>
            <w:bottom w:val="none" w:sz="0" w:space="0" w:color="auto"/>
            <w:right w:val="none" w:sz="0" w:space="0" w:color="auto"/>
          </w:divBdr>
          <w:divsChild>
            <w:div w:id="73480279">
              <w:marLeft w:val="0"/>
              <w:marRight w:val="0"/>
              <w:marTop w:val="0"/>
              <w:marBottom w:val="0"/>
              <w:divBdr>
                <w:top w:val="none" w:sz="0" w:space="0" w:color="auto"/>
                <w:left w:val="none" w:sz="0" w:space="0" w:color="auto"/>
                <w:bottom w:val="none" w:sz="0" w:space="0" w:color="auto"/>
                <w:right w:val="none" w:sz="0" w:space="0" w:color="auto"/>
              </w:divBdr>
            </w:div>
            <w:div w:id="1948081614">
              <w:marLeft w:val="0"/>
              <w:marRight w:val="0"/>
              <w:marTop w:val="0"/>
              <w:marBottom w:val="0"/>
              <w:divBdr>
                <w:top w:val="none" w:sz="0" w:space="0" w:color="auto"/>
                <w:left w:val="none" w:sz="0" w:space="0" w:color="auto"/>
                <w:bottom w:val="none" w:sz="0" w:space="0" w:color="auto"/>
                <w:right w:val="none" w:sz="0" w:space="0" w:color="auto"/>
              </w:divBdr>
            </w:div>
            <w:div w:id="1093471330">
              <w:marLeft w:val="0"/>
              <w:marRight w:val="0"/>
              <w:marTop w:val="0"/>
              <w:marBottom w:val="0"/>
              <w:divBdr>
                <w:top w:val="none" w:sz="0" w:space="0" w:color="auto"/>
                <w:left w:val="none" w:sz="0" w:space="0" w:color="auto"/>
                <w:bottom w:val="none" w:sz="0" w:space="0" w:color="auto"/>
                <w:right w:val="none" w:sz="0" w:space="0" w:color="auto"/>
              </w:divBdr>
            </w:div>
          </w:divsChild>
        </w:div>
        <w:div w:id="1261337219">
          <w:marLeft w:val="0"/>
          <w:marRight w:val="0"/>
          <w:marTop w:val="0"/>
          <w:marBottom w:val="0"/>
          <w:divBdr>
            <w:top w:val="none" w:sz="0" w:space="0" w:color="auto"/>
            <w:left w:val="none" w:sz="0" w:space="0" w:color="auto"/>
            <w:bottom w:val="none" w:sz="0" w:space="0" w:color="auto"/>
            <w:right w:val="none" w:sz="0" w:space="0" w:color="auto"/>
          </w:divBdr>
        </w:div>
        <w:div w:id="596327805">
          <w:marLeft w:val="0"/>
          <w:marRight w:val="0"/>
          <w:marTop w:val="0"/>
          <w:marBottom w:val="0"/>
          <w:divBdr>
            <w:top w:val="none" w:sz="0" w:space="0" w:color="auto"/>
            <w:left w:val="none" w:sz="0" w:space="0" w:color="auto"/>
            <w:bottom w:val="none" w:sz="0" w:space="0" w:color="auto"/>
            <w:right w:val="none" w:sz="0" w:space="0" w:color="auto"/>
          </w:divBdr>
        </w:div>
        <w:div w:id="90585086">
          <w:marLeft w:val="0"/>
          <w:marRight w:val="0"/>
          <w:marTop w:val="0"/>
          <w:marBottom w:val="0"/>
          <w:divBdr>
            <w:top w:val="none" w:sz="0" w:space="0" w:color="auto"/>
            <w:left w:val="none" w:sz="0" w:space="0" w:color="auto"/>
            <w:bottom w:val="none" w:sz="0" w:space="0" w:color="auto"/>
            <w:right w:val="none" w:sz="0" w:space="0" w:color="auto"/>
          </w:divBdr>
        </w:div>
        <w:div w:id="704141242">
          <w:marLeft w:val="0"/>
          <w:marRight w:val="0"/>
          <w:marTop w:val="0"/>
          <w:marBottom w:val="0"/>
          <w:divBdr>
            <w:top w:val="none" w:sz="0" w:space="0" w:color="auto"/>
            <w:left w:val="none" w:sz="0" w:space="0" w:color="auto"/>
            <w:bottom w:val="none" w:sz="0" w:space="0" w:color="auto"/>
            <w:right w:val="none" w:sz="0" w:space="0" w:color="auto"/>
          </w:divBdr>
        </w:div>
        <w:div w:id="416443177">
          <w:marLeft w:val="0"/>
          <w:marRight w:val="0"/>
          <w:marTop w:val="0"/>
          <w:marBottom w:val="0"/>
          <w:divBdr>
            <w:top w:val="none" w:sz="0" w:space="0" w:color="auto"/>
            <w:left w:val="none" w:sz="0" w:space="0" w:color="auto"/>
            <w:bottom w:val="none" w:sz="0" w:space="0" w:color="auto"/>
            <w:right w:val="none" w:sz="0" w:space="0" w:color="auto"/>
          </w:divBdr>
        </w:div>
        <w:div w:id="1163199439">
          <w:marLeft w:val="0"/>
          <w:marRight w:val="0"/>
          <w:marTop w:val="0"/>
          <w:marBottom w:val="0"/>
          <w:divBdr>
            <w:top w:val="none" w:sz="0" w:space="0" w:color="auto"/>
            <w:left w:val="none" w:sz="0" w:space="0" w:color="auto"/>
            <w:bottom w:val="none" w:sz="0" w:space="0" w:color="auto"/>
            <w:right w:val="none" w:sz="0" w:space="0" w:color="auto"/>
          </w:divBdr>
          <w:divsChild>
            <w:div w:id="1467971968">
              <w:marLeft w:val="0"/>
              <w:marRight w:val="0"/>
              <w:marTop w:val="0"/>
              <w:marBottom w:val="0"/>
              <w:divBdr>
                <w:top w:val="none" w:sz="0" w:space="0" w:color="auto"/>
                <w:left w:val="none" w:sz="0" w:space="0" w:color="auto"/>
                <w:bottom w:val="none" w:sz="0" w:space="0" w:color="auto"/>
                <w:right w:val="none" w:sz="0" w:space="0" w:color="auto"/>
              </w:divBdr>
            </w:div>
            <w:div w:id="1308365046">
              <w:marLeft w:val="0"/>
              <w:marRight w:val="0"/>
              <w:marTop w:val="0"/>
              <w:marBottom w:val="0"/>
              <w:divBdr>
                <w:top w:val="none" w:sz="0" w:space="0" w:color="auto"/>
                <w:left w:val="none" w:sz="0" w:space="0" w:color="auto"/>
                <w:bottom w:val="none" w:sz="0" w:space="0" w:color="auto"/>
                <w:right w:val="none" w:sz="0" w:space="0" w:color="auto"/>
              </w:divBdr>
            </w:div>
            <w:div w:id="1134373991">
              <w:marLeft w:val="0"/>
              <w:marRight w:val="0"/>
              <w:marTop w:val="0"/>
              <w:marBottom w:val="0"/>
              <w:divBdr>
                <w:top w:val="none" w:sz="0" w:space="0" w:color="auto"/>
                <w:left w:val="none" w:sz="0" w:space="0" w:color="auto"/>
                <w:bottom w:val="none" w:sz="0" w:space="0" w:color="auto"/>
                <w:right w:val="none" w:sz="0" w:space="0" w:color="auto"/>
              </w:divBdr>
            </w:div>
          </w:divsChild>
        </w:div>
        <w:div w:id="416680886">
          <w:marLeft w:val="0"/>
          <w:marRight w:val="0"/>
          <w:marTop w:val="0"/>
          <w:marBottom w:val="0"/>
          <w:divBdr>
            <w:top w:val="none" w:sz="0" w:space="0" w:color="auto"/>
            <w:left w:val="none" w:sz="0" w:space="0" w:color="auto"/>
            <w:bottom w:val="none" w:sz="0" w:space="0" w:color="auto"/>
            <w:right w:val="none" w:sz="0" w:space="0" w:color="auto"/>
          </w:divBdr>
          <w:divsChild>
            <w:div w:id="1113405469">
              <w:marLeft w:val="0"/>
              <w:marRight w:val="0"/>
              <w:marTop w:val="0"/>
              <w:marBottom w:val="0"/>
              <w:divBdr>
                <w:top w:val="none" w:sz="0" w:space="0" w:color="auto"/>
                <w:left w:val="none" w:sz="0" w:space="0" w:color="auto"/>
                <w:bottom w:val="none" w:sz="0" w:space="0" w:color="auto"/>
                <w:right w:val="none" w:sz="0" w:space="0" w:color="auto"/>
              </w:divBdr>
            </w:div>
            <w:div w:id="1109816025">
              <w:marLeft w:val="0"/>
              <w:marRight w:val="0"/>
              <w:marTop w:val="0"/>
              <w:marBottom w:val="0"/>
              <w:divBdr>
                <w:top w:val="none" w:sz="0" w:space="0" w:color="auto"/>
                <w:left w:val="none" w:sz="0" w:space="0" w:color="auto"/>
                <w:bottom w:val="none" w:sz="0" w:space="0" w:color="auto"/>
                <w:right w:val="none" w:sz="0" w:space="0" w:color="auto"/>
              </w:divBdr>
            </w:div>
            <w:div w:id="496114400">
              <w:marLeft w:val="0"/>
              <w:marRight w:val="0"/>
              <w:marTop w:val="0"/>
              <w:marBottom w:val="0"/>
              <w:divBdr>
                <w:top w:val="none" w:sz="0" w:space="0" w:color="auto"/>
                <w:left w:val="none" w:sz="0" w:space="0" w:color="auto"/>
                <w:bottom w:val="none" w:sz="0" w:space="0" w:color="auto"/>
                <w:right w:val="none" w:sz="0" w:space="0" w:color="auto"/>
              </w:divBdr>
            </w:div>
            <w:div w:id="22635340">
              <w:marLeft w:val="0"/>
              <w:marRight w:val="0"/>
              <w:marTop w:val="0"/>
              <w:marBottom w:val="0"/>
              <w:divBdr>
                <w:top w:val="none" w:sz="0" w:space="0" w:color="auto"/>
                <w:left w:val="none" w:sz="0" w:space="0" w:color="auto"/>
                <w:bottom w:val="none" w:sz="0" w:space="0" w:color="auto"/>
                <w:right w:val="none" w:sz="0" w:space="0" w:color="auto"/>
              </w:divBdr>
            </w:div>
            <w:div w:id="2042169987">
              <w:marLeft w:val="0"/>
              <w:marRight w:val="0"/>
              <w:marTop w:val="0"/>
              <w:marBottom w:val="0"/>
              <w:divBdr>
                <w:top w:val="none" w:sz="0" w:space="0" w:color="auto"/>
                <w:left w:val="none" w:sz="0" w:space="0" w:color="auto"/>
                <w:bottom w:val="none" w:sz="0" w:space="0" w:color="auto"/>
                <w:right w:val="none" w:sz="0" w:space="0" w:color="auto"/>
              </w:divBdr>
            </w:div>
          </w:divsChild>
        </w:div>
        <w:div w:id="1230461815">
          <w:marLeft w:val="0"/>
          <w:marRight w:val="0"/>
          <w:marTop w:val="0"/>
          <w:marBottom w:val="0"/>
          <w:divBdr>
            <w:top w:val="none" w:sz="0" w:space="0" w:color="auto"/>
            <w:left w:val="none" w:sz="0" w:space="0" w:color="auto"/>
            <w:bottom w:val="none" w:sz="0" w:space="0" w:color="auto"/>
            <w:right w:val="none" w:sz="0" w:space="0" w:color="auto"/>
          </w:divBdr>
        </w:div>
        <w:div w:id="2862744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498679">
          <w:marLeft w:val="0"/>
          <w:marRight w:val="0"/>
          <w:marTop w:val="0"/>
          <w:marBottom w:val="0"/>
          <w:divBdr>
            <w:top w:val="none" w:sz="0" w:space="0" w:color="auto"/>
            <w:left w:val="none" w:sz="0" w:space="0" w:color="auto"/>
            <w:bottom w:val="none" w:sz="0" w:space="0" w:color="auto"/>
            <w:right w:val="none" w:sz="0" w:space="0" w:color="auto"/>
          </w:divBdr>
        </w:div>
        <w:div w:id="1171683472">
          <w:marLeft w:val="0"/>
          <w:marRight w:val="0"/>
          <w:marTop w:val="0"/>
          <w:marBottom w:val="0"/>
          <w:divBdr>
            <w:top w:val="none" w:sz="0" w:space="0" w:color="auto"/>
            <w:left w:val="none" w:sz="0" w:space="0" w:color="auto"/>
            <w:bottom w:val="none" w:sz="0" w:space="0" w:color="auto"/>
            <w:right w:val="none" w:sz="0" w:space="0" w:color="auto"/>
          </w:divBdr>
        </w:div>
        <w:div w:id="1709716081">
          <w:marLeft w:val="0"/>
          <w:marRight w:val="0"/>
          <w:marTop w:val="0"/>
          <w:marBottom w:val="0"/>
          <w:divBdr>
            <w:top w:val="none" w:sz="0" w:space="0" w:color="auto"/>
            <w:left w:val="none" w:sz="0" w:space="0" w:color="auto"/>
            <w:bottom w:val="none" w:sz="0" w:space="0" w:color="auto"/>
            <w:right w:val="none" w:sz="0" w:space="0" w:color="auto"/>
          </w:divBdr>
        </w:div>
        <w:div w:id="485391270">
          <w:marLeft w:val="0"/>
          <w:marRight w:val="0"/>
          <w:marTop w:val="0"/>
          <w:marBottom w:val="0"/>
          <w:divBdr>
            <w:top w:val="none" w:sz="0" w:space="0" w:color="auto"/>
            <w:left w:val="none" w:sz="0" w:space="0" w:color="auto"/>
            <w:bottom w:val="none" w:sz="0" w:space="0" w:color="auto"/>
            <w:right w:val="none" w:sz="0" w:space="0" w:color="auto"/>
          </w:divBdr>
        </w:div>
        <w:div w:id="440344460">
          <w:marLeft w:val="0"/>
          <w:marRight w:val="0"/>
          <w:marTop w:val="0"/>
          <w:marBottom w:val="0"/>
          <w:divBdr>
            <w:top w:val="none" w:sz="0" w:space="0" w:color="auto"/>
            <w:left w:val="none" w:sz="0" w:space="0" w:color="auto"/>
            <w:bottom w:val="none" w:sz="0" w:space="0" w:color="auto"/>
            <w:right w:val="none" w:sz="0" w:space="0" w:color="auto"/>
          </w:divBdr>
        </w:div>
        <w:div w:id="1444379738">
          <w:marLeft w:val="0"/>
          <w:marRight w:val="0"/>
          <w:marTop w:val="0"/>
          <w:marBottom w:val="0"/>
          <w:divBdr>
            <w:top w:val="none" w:sz="0" w:space="0" w:color="auto"/>
            <w:left w:val="none" w:sz="0" w:space="0" w:color="auto"/>
            <w:bottom w:val="none" w:sz="0" w:space="0" w:color="auto"/>
            <w:right w:val="none" w:sz="0" w:space="0" w:color="auto"/>
          </w:divBdr>
        </w:div>
        <w:div w:id="731201439">
          <w:marLeft w:val="0"/>
          <w:marRight w:val="0"/>
          <w:marTop w:val="0"/>
          <w:marBottom w:val="0"/>
          <w:divBdr>
            <w:top w:val="none" w:sz="0" w:space="0" w:color="auto"/>
            <w:left w:val="none" w:sz="0" w:space="0" w:color="auto"/>
            <w:bottom w:val="none" w:sz="0" w:space="0" w:color="auto"/>
            <w:right w:val="none" w:sz="0" w:space="0" w:color="auto"/>
          </w:divBdr>
        </w:div>
        <w:div w:id="1640768150">
          <w:marLeft w:val="0"/>
          <w:marRight w:val="0"/>
          <w:marTop w:val="0"/>
          <w:marBottom w:val="0"/>
          <w:divBdr>
            <w:top w:val="none" w:sz="0" w:space="0" w:color="auto"/>
            <w:left w:val="none" w:sz="0" w:space="0" w:color="auto"/>
            <w:bottom w:val="none" w:sz="0" w:space="0" w:color="auto"/>
            <w:right w:val="none" w:sz="0" w:space="0" w:color="auto"/>
          </w:divBdr>
        </w:div>
        <w:div w:id="1502232271">
          <w:marLeft w:val="0"/>
          <w:marRight w:val="0"/>
          <w:marTop w:val="0"/>
          <w:marBottom w:val="0"/>
          <w:divBdr>
            <w:top w:val="none" w:sz="0" w:space="0" w:color="auto"/>
            <w:left w:val="none" w:sz="0" w:space="0" w:color="auto"/>
            <w:bottom w:val="none" w:sz="0" w:space="0" w:color="auto"/>
            <w:right w:val="none" w:sz="0" w:space="0" w:color="auto"/>
          </w:divBdr>
        </w:div>
        <w:div w:id="353194058">
          <w:marLeft w:val="0"/>
          <w:marRight w:val="0"/>
          <w:marTop w:val="0"/>
          <w:marBottom w:val="0"/>
          <w:divBdr>
            <w:top w:val="none" w:sz="0" w:space="0" w:color="auto"/>
            <w:left w:val="none" w:sz="0" w:space="0" w:color="auto"/>
            <w:bottom w:val="none" w:sz="0" w:space="0" w:color="auto"/>
            <w:right w:val="none" w:sz="0" w:space="0" w:color="auto"/>
          </w:divBdr>
        </w:div>
        <w:div w:id="1229073108">
          <w:marLeft w:val="0"/>
          <w:marRight w:val="0"/>
          <w:marTop w:val="0"/>
          <w:marBottom w:val="0"/>
          <w:divBdr>
            <w:top w:val="none" w:sz="0" w:space="0" w:color="auto"/>
            <w:left w:val="none" w:sz="0" w:space="0" w:color="auto"/>
            <w:bottom w:val="none" w:sz="0" w:space="0" w:color="auto"/>
            <w:right w:val="none" w:sz="0" w:space="0" w:color="auto"/>
          </w:divBdr>
        </w:div>
        <w:div w:id="697972969">
          <w:marLeft w:val="0"/>
          <w:marRight w:val="0"/>
          <w:marTop w:val="0"/>
          <w:marBottom w:val="0"/>
          <w:divBdr>
            <w:top w:val="none" w:sz="0" w:space="0" w:color="auto"/>
            <w:left w:val="none" w:sz="0" w:space="0" w:color="auto"/>
            <w:bottom w:val="none" w:sz="0" w:space="0" w:color="auto"/>
            <w:right w:val="none" w:sz="0" w:space="0" w:color="auto"/>
          </w:divBdr>
        </w:div>
        <w:div w:id="1850095092">
          <w:marLeft w:val="0"/>
          <w:marRight w:val="0"/>
          <w:marTop w:val="0"/>
          <w:marBottom w:val="0"/>
          <w:divBdr>
            <w:top w:val="none" w:sz="0" w:space="0" w:color="auto"/>
            <w:left w:val="none" w:sz="0" w:space="0" w:color="auto"/>
            <w:bottom w:val="none" w:sz="0" w:space="0" w:color="auto"/>
            <w:right w:val="none" w:sz="0" w:space="0" w:color="auto"/>
          </w:divBdr>
        </w:div>
        <w:div w:id="1718821905">
          <w:marLeft w:val="0"/>
          <w:marRight w:val="0"/>
          <w:marTop w:val="0"/>
          <w:marBottom w:val="0"/>
          <w:divBdr>
            <w:top w:val="none" w:sz="0" w:space="0" w:color="auto"/>
            <w:left w:val="none" w:sz="0" w:space="0" w:color="auto"/>
            <w:bottom w:val="none" w:sz="0" w:space="0" w:color="auto"/>
            <w:right w:val="none" w:sz="0" w:space="0" w:color="auto"/>
          </w:divBdr>
        </w:div>
        <w:div w:id="1592197164">
          <w:marLeft w:val="0"/>
          <w:marRight w:val="0"/>
          <w:marTop w:val="0"/>
          <w:marBottom w:val="0"/>
          <w:divBdr>
            <w:top w:val="none" w:sz="0" w:space="0" w:color="auto"/>
            <w:left w:val="none" w:sz="0" w:space="0" w:color="auto"/>
            <w:bottom w:val="none" w:sz="0" w:space="0" w:color="auto"/>
            <w:right w:val="none" w:sz="0" w:space="0" w:color="auto"/>
          </w:divBdr>
        </w:div>
        <w:div w:id="490871678">
          <w:marLeft w:val="0"/>
          <w:marRight w:val="0"/>
          <w:marTop w:val="0"/>
          <w:marBottom w:val="0"/>
          <w:divBdr>
            <w:top w:val="none" w:sz="0" w:space="0" w:color="auto"/>
            <w:left w:val="none" w:sz="0" w:space="0" w:color="auto"/>
            <w:bottom w:val="none" w:sz="0" w:space="0" w:color="auto"/>
            <w:right w:val="none" w:sz="0" w:space="0" w:color="auto"/>
          </w:divBdr>
        </w:div>
        <w:div w:id="1375695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1925</Words>
  <Characters>10979</Characters>
  <Application>Microsoft Office Word</Application>
  <DocSecurity>0</DocSecurity>
  <Lines>91</Lines>
  <Paragraphs>25</Paragraphs>
  <ScaleCrop>false</ScaleCrop>
  <Company/>
  <LinksUpToDate>false</LinksUpToDate>
  <CharactersWithSpaces>12879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2017-10-17T20:23:00Z</dcterms:created>
  <dcterms:modified xsi:type="dcterms:W3CDTF">2017-10-17T20:24:00Z</dcterms:modified>
</cp:coreProperties>
</file>